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w:t>
      </w:r>
      <w:r>
        <w:t xml:space="preserve"> </w:t>
      </w:r>
      <w:r>
        <w:t xml:space="preserve">the</w:t>
      </w:r>
      <w:r>
        <w:t xml:space="preserve"> </w:t>
      </w:r>
      <w:r>
        <w:t xml:space="preserve">matrix:</w:t>
      </w:r>
      <w:r>
        <w:t xml:space="preserve"> </w:t>
      </w:r>
      <w:r>
        <w:t xml:space="preserve">factorization</w:t>
      </w:r>
      <w:r>
        <w:t xml:space="preserve"> </w:t>
      </w:r>
      <w:r>
        <w:t xml:space="preserve">uncovers</w:t>
      </w:r>
      <w:r>
        <w:t xml:space="preserve"> </w:t>
      </w:r>
      <w:r>
        <w:t xml:space="preserve">knowledge</w:t>
      </w:r>
      <w:r>
        <w:t xml:space="preserve"> </w:t>
      </w:r>
      <w:r>
        <w:t xml:space="preserve">from</w:t>
      </w:r>
      <w:r>
        <w:t xml:space="preserve"> </w:t>
      </w:r>
      <w:r>
        <w:t xml:space="preserve">omics</w:t>
      </w:r>
    </w:p>
    <w:p>
      <w:pPr>
        <w:pStyle w:val="Author"/>
      </w:pPr>
      <w:r>
        <w:t xml:space="preserve">Genevieve</w:t>
      </w:r>
      <w:r>
        <w:t xml:space="preserve"> </w:t>
      </w:r>
      <w:r>
        <w:t xml:space="preserve">L.</w:t>
      </w:r>
      <w:r>
        <w:t xml:space="preserve"> </w:t>
      </w:r>
      <w:r>
        <w:t xml:space="preserve">Stein-O’Brien</w:t>
      </w:r>
      <w:r>
        <w:t xml:space="preserve"> </w:t>
      </w:r>
      <w:r>
        <w:t xml:space="preserve">et</w:t>
      </w:r>
      <w:r>
        <w:t xml:space="preserve"> </w:t>
      </w:r>
      <w:r>
        <w:t xml:space="preserve">al.</w:t>
      </w:r>
    </w:p>
    <w:p>
      <w:pPr>
        <w:pStyle w:val="Heading1"/>
      </w:pPr>
      <w:bookmarkStart w:id="21" w:name="mathematical-description-of-matrix-factorization"/>
      <w:bookmarkEnd w:id="21"/>
      <w:r>
        <w:t xml:space="preserve">Mathematical description of matrix factorization</w:t>
      </w:r>
    </w:p>
    <w:p>
      <w:pPr>
        <w:pStyle w:val="Heading2"/>
      </w:pPr>
      <w:bookmarkStart w:id="22" w:name="technical-description-of-matrix-factorization"/>
      <w:bookmarkEnd w:id="22"/>
      <w:r>
        <w:t xml:space="preserve">Technical description of matrix factorization</w:t>
      </w:r>
    </w:p>
    <w:p>
      <w:pPr>
        <w:pStyle w:val="FirstParagraph"/>
      </w:pPr>
      <w:r>
        <w:t xml:space="preserve">Matrix factorization (MF) approximates an input matrix</w:t>
      </w:r>
      <w:r>
        <w:t xml:space="preserve"> </w:t>
      </w:r>
      <m:oMath>
        <m:r>
          <m:rPr/>
          <m:t>X</m:t>
        </m:r>
      </m:oMath>
      <w:r>
        <w:t xml:space="preserve">, as a product of two matrices,</w:t>
      </w:r>
      <w:r>
        <w:t xml:space="preserve"> </w:t>
      </w:r>
      <m:oMath>
        <m:r>
          <m:rPr/>
          <m:t>U</m:t>
        </m:r>
      </m:oMath>
      <w:r>
        <w:t xml:space="preserve"> </w:t>
      </w:r>
      <w:r>
        <w:t xml:space="preserve">and</w:t>
      </w:r>
      <w:r>
        <w:t xml:space="preserve"> </w:t>
      </w:r>
      <m:oMath>
        <m:r>
          <m:rPr/>
          <m:t>V</m:t>
        </m:r>
      </m:oMath>
      <w:r>
        <w:t xml:space="preserve">, also referred to as factors.</w:t>
      </w:r>
    </w:p>
    <w:p>
      <w:pPr>
        <w:pStyle w:val="BodyText"/>
      </w:pPr>
      <w:r>
        <w:t xml:space="preserve">In genomics, the input matrix</w:t>
      </w:r>
      <w:r>
        <w:t xml:space="preserve"> </w:t>
      </w:r>
      <m:oMath>
        <m:r>
          <m:rPr/>
          <m:t>X</m:t>
        </m:r>
      </m:oMath>
      <w:r>
        <w:t xml:space="preserve"> </w:t>
      </w:r>
      <w:r>
        <w:t xml:space="preserve">typically represents a preprocessed data matrix that has</w:t>
      </w:r>
      <w:r>
        <w:t xml:space="preserve"> </w:t>
      </w:r>
      <m:oMath>
        <m:r>
          <m:rPr/>
          <m:t>n</m:t>
        </m:r>
      </m:oMath>
      <w:r>
        <w:t xml:space="preserve"> </w:t>
      </w:r>
      <w:r>
        <w:t xml:space="preserve">molecular measurements as rows and</w:t>
      </w:r>
      <w:r>
        <w:t xml:space="preserve"> </w:t>
      </w:r>
      <m:oMath>
        <m:r>
          <m:rPr/>
          <m:t>p</m:t>
        </m:r>
      </m:oMath>
      <w:r>
        <w:t xml:space="preserve"> </w:t>
      </w:r>
      <w:r>
        <w:t xml:space="preserve">biological samples as columns (i.e., a matrix of size</w:t>
      </w:r>
      <w:r>
        <w:t xml:space="preserve"> </w:t>
      </w:r>
      <m:oMath>
        <m:r>
          <m:rPr/>
          <m:t>n</m:t>
        </m:r>
        <m:r>
          <m:rPr/>
          <m:t>×</m:t>
        </m:r>
        <m:r>
          <m:rPr/>
          <m:t>p</m:t>
        </m:r>
      </m:oMath>
      <w:r>
        <w:t xml:space="preserve">). Often, not all of the row and column vectors of the data are equally informative. Exploratory data analysis aims to find a set of</w:t>
      </w:r>
      <w:r>
        <w:t xml:space="preserve"> </w:t>
      </w:r>
      <m:oMath>
        <m:r>
          <m:rPr/>
          <m:t>k</m:t>
        </m:r>
      </m:oMath>
      <w:r>
        <w:t xml:space="preserve"> </w:t>
      </w:r>
      <w:r>
        <w:t xml:space="preserve">most informative dimensions or features, where</w:t>
      </w:r>
      <w:r>
        <w:t xml:space="preserve"> </w:t>
      </w:r>
      <m:oMath>
        <m:r>
          <m:rPr/>
          <m:t>k</m:t>
        </m:r>
      </m:oMath>
      <w:r>
        <w:t xml:space="preserve"> </w:t>
      </w:r>
      <w:r>
        <w:t xml:space="preserve">is smaller than either</w:t>
      </w:r>
      <w:r>
        <w:t xml:space="preserve"> </w:t>
      </w:r>
      <m:oMath>
        <m:r>
          <m:rPr/>
          <m:t>n</m:t>
        </m:r>
      </m:oMath>
      <w:r>
        <w:t xml:space="preserve"> </w:t>
      </w:r>
      <w:r>
        <w:t xml:space="preserve">or</w:t>
      </w:r>
      <w:r>
        <w:t xml:space="preserve"> </w:t>
      </w:r>
      <m:oMath>
        <m:r>
          <m:rPr/>
          <m:t>p</m:t>
        </m:r>
      </m:oMath>
      <w:r>
        <w:t xml:space="preserve">. A</w:t>
      </w:r>
      <w:r>
        <w:t xml:space="preserve"> </w:t>
      </w:r>
      <m:oMath>
        <m:r>
          <m:rPr/>
          <m:t>k</m:t>
        </m:r>
      </m:oMath>
      <w:r>
        <w:t xml:space="preserve">-dimensional representation that captures most of the “information” (say, for example, most of the variation) contained in the original data can then be used in its place in subsequent analysis.</w:t>
      </w:r>
    </w:p>
    <w:p>
      <w:pPr>
        <w:pStyle w:val="BodyText"/>
      </w:pPr>
      <w:r>
        <w:t xml:space="preserve">MF solves this problem by approximating</w:t>
      </w:r>
      <w:r>
        <w:t xml:space="preserve"> </w:t>
      </w:r>
      <m:oMath>
        <m:r>
          <m:rPr/>
          <m:t>X</m:t>
        </m:r>
      </m:oMath>
      <w:r>
        <w:t xml:space="preserve"> </w:t>
      </w:r>
      <w:r>
        <w:t xml:space="preserve">as a product of two “factor” matrices:</w:t>
      </w:r>
      <w:r>
        <w:t xml:space="preserve"> </w:t>
      </w:r>
      <m:oMath>
        <m:r>
          <m:rPr/>
          <m:t>X</m:t>
        </m:r>
        <m:r>
          <m:rPr/>
          <m:t>≈</m:t>
        </m:r>
        <m:r>
          <m:rPr/>
          <m:t>U</m:t>
        </m:r>
        <m:r>
          <m:rPr/>
          <m:t>V</m:t>
        </m:r>
      </m:oMath>
      <w:r>
        <w:t xml:space="preserve">, where the factor</w:t>
      </w:r>
      <w:r>
        <w:t xml:space="preserve"> </w:t>
      </w:r>
      <m:oMath>
        <m:r>
          <m:rPr/>
          <m:t>U</m:t>
        </m:r>
      </m:oMath>
      <w:r>
        <w:t xml:space="preserve"> </w:t>
      </w:r>
      <w:r>
        <w:t xml:space="preserve">is of size</w:t>
      </w:r>
      <w:r>
        <w:t xml:space="preserve"> </w:t>
      </w:r>
      <m:oMath>
        <m:r>
          <m:rPr/>
          <m:t>n</m:t>
        </m:r>
        <m:r>
          <m:rPr/>
          <m:t>×</m:t>
        </m:r>
        <m:r>
          <m:rPr/>
          <m:t>k</m:t>
        </m:r>
      </m:oMath>
      <w:r>
        <w:t xml:space="preserve"> </w:t>
      </w:r>
      <w:r>
        <w:t xml:space="preserve">and the factor</w:t>
      </w:r>
      <w:r>
        <w:t xml:space="preserve"> </w:t>
      </w:r>
      <m:oMath>
        <m:r>
          <m:rPr/>
          <m:t>V</m:t>
        </m:r>
      </m:oMath>
      <w:r>
        <w:t xml:space="preserve"> </w:t>
      </w:r>
      <w:r>
        <w:t xml:space="preserve">is of size</w:t>
      </w:r>
      <w:r>
        <w:t xml:space="preserve"> </w:t>
      </w:r>
      <m:oMath>
        <m:r>
          <m:rPr/>
          <m:t>k</m:t>
        </m:r>
        <m:r>
          <m:rPr/>
          <m:t>×</m:t>
        </m:r>
        <m:r>
          <m:rPr/>
          <m:t>p</m:t>
        </m:r>
      </m:oMath>
      <w:r>
        <w:t xml:space="preserve">. Here, we refer to</w:t>
      </w:r>
      <w:r>
        <w:t xml:space="preserve"> </w:t>
      </w:r>
      <m:oMath>
        <m:r>
          <m:rPr/>
          <m:t>U</m:t>
        </m:r>
      </m:oMath>
      <w:r>
        <w:t xml:space="preserve"> </w:t>
      </w:r>
      <w:r>
        <w:t xml:space="preserve">as the amplitude matrix and</w:t>
      </w:r>
      <w:r>
        <w:t xml:space="preserve"> </w:t>
      </w:r>
      <m:oMath>
        <m:r>
          <m:rPr/>
          <m:t>V</m:t>
        </m:r>
      </m:oMath>
      <w:r>
        <w:t xml:space="preserve"> </w:t>
      </w:r>
      <w:r>
        <w:t xml:space="preserve">as the pattern matrix. We note that alternative variable names to and and terminology are often used in the literature, depending on the application.</w:t>
      </w:r>
    </w:p>
    <w:p>
      <w:pPr>
        <w:pStyle w:val="BodyText"/>
      </w:pPr>
      <w:r>
        <w:t xml:space="preserve">Finding matrices</w:t>
      </w:r>
      <w:r>
        <w:t xml:space="preserve"> </w:t>
      </w:r>
      <m:oMath>
        <m:r>
          <m:rPr/>
          <m:t>U</m:t>
        </m:r>
      </m:oMath>
      <w:r>
        <w:t xml:space="preserve"> </w:t>
      </w:r>
      <w:r>
        <w:t xml:space="preserve">and</w:t>
      </w:r>
      <w:r>
        <w:t xml:space="preserve"> </w:t>
      </w:r>
      <m:oMath>
        <m:r>
          <m:rPr/>
          <m:t>V</m:t>
        </m:r>
      </m:oMath>
      <w:r>
        <w:t xml:space="preserve"> </w:t>
      </w:r>
      <w:r>
        <w:t xml:space="preserve">requires a quantitative definition of how well the product</w:t>
      </w:r>
      <w:r>
        <w:t xml:space="preserve"> </w:t>
      </w:r>
      <m:oMath>
        <m:r>
          <m:rPr/>
          <m:t>U</m:t>
        </m:r>
        <m:r>
          <m:rPr/>
          <m:t>V</m:t>
        </m:r>
      </m:oMath>
      <w:r>
        <w:t xml:space="preserve"> </w:t>
      </w:r>
      <w:r>
        <w:t xml:space="preserve">approximates</w:t>
      </w:r>
      <w:r>
        <w:t xml:space="preserve"> </w:t>
      </w:r>
      <m:oMath>
        <m:r>
          <m:rPr/>
          <m:t>X</m:t>
        </m:r>
      </m:oMath>
      <w:r>
        <w:t xml:space="preserve">. One method for providing this definition is to use a loss function that quantifies the discrepancy between the approximation and the data, such as the mean square error and median absolute error. A common approach to solve for</w:t>
      </w:r>
      <w:r>
        <w:t xml:space="preserve"> </w:t>
      </w:r>
      <m:oMath>
        <m:r>
          <m:rPr/>
          <m:t>U</m:t>
        </m:r>
      </m:oMath>
      <w:r>
        <w:t xml:space="preserve"> </w:t>
      </w:r>
      <w:r>
        <w:t xml:space="preserve">and</w:t>
      </w:r>
      <w:r>
        <w:t xml:space="preserve"> </w:t>
      </w:r>
      <m:oMath>
        <m:r>
          <m:rPr/>
          <m:t>V</m:t>
        </m:r>
      </m:oMath>
      <w:r>
        <w:t xml:space="preserve"> </w:t>
      </w:r>
      <w:r>
        <w:t xml:space="preserve">is to apply an iterative approach such as a gradient-based method to minimize a loss function. Bayesian approaches to MF are alternatives to approximate the probabilistic relationship between</w:t>
      </w:r>
      <w:r>
        <w:t xml:space="preserve"> </w:t>
      </w:r>
      <m:oMath>
        <m:r>
          <m:rPr/>
          <m:t>U</m:t>
        </m:r>
        <m:r>
          <m:rPr/>
          <m:t>V</m:t>
        </m:r>
      </m:oMath>
      <w:r>
        <w:t xml:space="preserve"> </w:t>
      </w:r>
      <w:r>
        <w:t xml:space="preserve">and</w:t>
      </w:r>
      <w:r>
        <w:t xml:space="preserve"> </w:t>
      </w:r>
      <m:oMath>
        <m:r>
          <m:rPr/>
          <m:t>X</m:t>
        </m:r>
      </m:oMath>
      <w:r>
        <w:t xml:space="preserve">. Additional conditions can also be incorporated in both gradient-based and Bayesian MF to learn useful features, such as sparsity constraints to limit the number of non-zero matrix elements.</w:t>
      </w:r>
    </w:p>
    <w:p>
      <w:pPr>
        <w:pStyle w:val="BodyText"/>
      </w:pPr>
      <w:r>
        <w:t xml:space="preserve">Both gradient-based and Bayesian MF approaches have numerous applications beyond genomics. These techniques are ubiquitous in unsupervised feature learning for big data analysis.</w:t>
      </w:r>
    </w:p>
    <w:p>
      <w:pPr>
        <w:pStyle w:val="Heading2"/>
      </w:pPr>
      <w:bookmarkStart w:id="23" w:name="description-of-pca-ica-and-nmf"/>
      <w:bookmarkEnd w:id="23"/>
      <w:r>
        <w:t xml:space="preserve">Description of PCA, ICA, and NMF</w:t>
      </w:r>
    </w:p>
    <w:p>
      <w:pPr>
        <w:pStyle w:val="FirstParagraph"/>
      </w:pPr>
      <w:r>
        <w:t xml:space="preserve">MF can start with the same data matrix</w:t>
      </w:r>
      <w:r>
        <w:t xml:space="preserve"> </w:t>
      </w:r>
      <m:oMath>
        <m:r>
          <m:rPr/>
          <m:t>X</m:t>
        </m:r>
      </m:oMath>
      <w:r>
        <w:t xml:space="preserve"> </w:t>
      </w:r>
      <w:r>
        <w:t xml:space="preserve">and then solve different problems to learn amplitude (</w:t>
      </w:r>
      <m:oMath>
        <m:r>
          <m:rPr/>
          <m:t>U</m:t>
        </m:r>
      </m:oMath>
      <w:r>
        <w:t xml:space="preserve">) and pattern (</w:t>
      </w:r>
      <m:oMath>
        <m:r>
          <m:rPr/>
          <m:t>V</m:t>
        </m:r>
      </m:oMath>
      <w:r>
        <w:t xml:space="preserve">) matrices with specific properties. An MF method requires: 1) the desired dimension</w:t>
      </w:r>
      <w:r>
        <w:t xml:space="preserve"> </w:t>
      </w:r>
      <m:oMath>
        <m:r>
          <m:rPr/>
          <m:t>k</m:t>
        </m:r>
      </m:oMath>
      <w:r>
        <w:t xml:space="preserve">; 2) a loss function that measures the approximation</w:t>
      </w:r>
      <w:r>
        <w:t xml:space="preserve"> </w:t>
      </w:r>
      <m:oMath>
        <m:r>
          <m:rPr/>
          <m:t>X</m:t>
        </m:r>
        <m:r>
          <m:rPr/>
          <m:t>≈</m:t>
        </m:r>
        <m:r>
          <m:rPr/>
          <m:t>U</m:t>
        </m:r>
        <m:r>
          <m:rPr/>
          <m:t>V</m:t>
        </m:r>
      </m:oMath>
      <w:r>
        <w:t xml:space="preserve">; and 3) constraints on</w:t>
      </w:r>
      <w:r>
        <w:t xml:space="preserve"> </w:t>
      </w:r>
      <m:oMath>
        <m:r>
          <m:rPr/>
          <m:t>U</m:t>
        </m:r>
      </m:oMath>
      <w:r>
        <w:t xml:space="preserve"> </w:t>
      </w:r>
      <w:r>
        <w:t xml:space="preserve">and/or</w:t>
      </w:r>
      <w:r>
        <w:t xml:space="preserve"> </w:t>
      </w:r>
      <m:oMath>
        <m:r>
          <m:rPr/>
          <m:t>V</m:t>
        </m:r>
      </m:oMath>
      <w:r>
        <w:t xml:space="preserve"> </w:t>
      </w:r>
      <w:r>
        <w:t xml:space="preserve">that enforce a desired structure on the low-dimensional representation. Changes to any of these give rises to different MF problems with different low-dimensional representations of the data. Three common MF approaches are applied to genomics: PCA, ICA, and NMF.</w:t>
      </w:r>
    </w:p>
    <w:p>
      <w:pPr>
        <w:pStyle w:val="BodyText"/>
      </w:pPr>
      <w:r>
        <w:t xml:space="preserve">PCA finds a low-dimensional representation of the data that maximizes the variation contained in the original data. In PCA, the columns of</w:t>
      </w:r>
      <w:r>
        <w:t xml:space="preserve"> </w:t>
      </w:r>
      <m:oMath>
        <m:r>
          <m:rPr/>
          <m:t>U</m:t>
        </m:r>
      </m:oMath>
      <w:r>
        <w:t xml:space="preserve"> </w:t>
      </w:r>
      <w:r>
        <w:t xml:space="preserve">are orthogonal to each other describing non-overlapping structure in the data. Each column of represents the weight or loading of the data vector in the corresponding column of matrix</w:t>
      </w:r>
      <w:r>
        <w:t xml:space="preserve"> </w:t>
      </w:r>
      <m:oMath>
        <m:r>
          <m:rPr/>
          <m:t>X</m:t>
        </m:r>
      </m:oMath>
      <w:r>
        <w:t xml:space="preserve">. In PCA, the columns of</w:t>
      </w:r>
      <w:r>
        <w:t xml:space="preserve"> </w:t>
      </w:r>
      <m:oMath>
        <m:r>
          <m:rPr/>
          <m:t>U</m:t>
        </m:r>
      </m:oMath>
      <w:r>
        <w:t xml:space="preserve"> </w:t>
      </w:r>
      <w:r>
        <w:t xml:space="preserve">and rows of</w:t>
      </w:r>
      <w:r>
        <w:t xml:space="preserve"> </w:t>
      </w:r>
      <m:oMath>
        <m:r>
          <m:rPr/>
          <m:t>V</m:t>
        </m:r>
      </m:oMath>
      <w:r>
        <w:t xml:space="preserve"> </w:t>
      </w:r>
      <w:r>
        <w:t xml:space="preserve">are ranked by the relative amount of variance they explain in the data. Thus, the first column of and row of explain most of the variation across molecular measurements and samples, respectively. Together, the</w:t>
      </w:r>
      <w:r>
        <w:t xml:space="preserve"> </w:t>
      </w:r>
      <m:oMath>
        <m:r>
          <m:rPr/>
          <m:t>k</m:t>
        </m:r>
      </m:oMath>
      <w:r>
        <w:t xml:space="preserve"> </w:t>
      </w:r>
      <w:r>
        <w:t xml:space="preserve">vectors learned with PCA maximize the total variance in the data captured using any rank</w:t>
      </w:r>
      <w:r>
        <w:t xml:space="preserve"> </w:t>
      </w:r>
      <m:oMath>
        <m:r>
          <m:rPr/>
          <m:t>k</m:t>
        </m:r>
      </m:oMath>
      <w:r>
        <w:t xml:space="preserve"> </w:t>
      </w:r>
      <w:r>
        <w:t xml:space="preserve">factorization. Geometrically, the vectors can be thought of as a set of orthogonal coordinate axes in high dimensional space, which represent the directions of maximal variation in the data.</w:t>
      </w:r>
    </w:p>
    <w:p>
      <w:pPr>
        <w:pStyle w:val="BodyText"/>
      </w:pPr>
      <w:r>
        <w:t xml:space="preserve">ICA assumes that there are a set of</w:t>
      </w:r>
      <w:r>
        <w:t xml:space="preserve"> </w:t>
      </w:r>
      <m:oMath>
        <m:r>
          <m:rPr/>
          <m:t>k</m:t>
        </m:r>
      </m:oMath>
      <w:r>
        <w:t xml:space="preserve"> </w:t>
      </w:r>
      <w:r>
        <w:t xml:space="preserve">independent sources of variation that give rise to the observed data matrix</w:t>
      </w:r>
      <w:r>
        <w:t xml:space="preserve"> </w:t>
      </w:r>
      <m:oMath>
        <m:r>
          <m:rPr/>
          <m:t>X</m:t>
        </m:r>
      </m:oMath>
      <w:r>
        <w:t xml:space="preserve">. This method enforces that the columns of</w:t>
      </w:r>
      <w:r>
        <w:t xml:space="preserve"> </w:t>
      </w:r>
      <m:oMath>
        <m:r>
          <m:rPr/>
          <m:t>U</m:t>
        </m:r>
      </m:oMath>
      <w:r>
        <w:t xml:space="preserve"> </w:t>
      </w:r>
      <w:r>
        <w:t xml:space="preserve">yields components that are statistically independent of each other. ICA is solved by minimizing the total mutual information between the</w:t>
      </w:r>
      <w:r>
        <w:t xml:space="preserve"> </w:t>
      </w:r>
      <m:oMath>
        <m:r>
          <m:rPr/>
          <m:t>k</m:t>
        </m:r>
      </m:oMath>
      <w:r>
        <w:t xml:space="preserve"> </w:t>
      </w:r>
      <w:r>
        <w:t xml:space="preserve">estimated components. The resulting factors ideally represent independent sources of variation in the biological system. In ICA, often the</w:t>
      </w:r>
      <w:r>
        <w:t xml:space="preserve"> </w:t>
      </w:r>
      <m:oMath>
        <m:r>
          <m:rPr/>
          <m:t>U</m:t>
        </m:r>
      </m:oMath>
      <w:r>
        <w:t xml:space="preserve"> </w:t>
      </w:r>
      <w:r>
        <w:t xml:space="preserve">matrix is often represented by the variable</w:t>
      </w:r>
      <w:r>
        <w:t xml:space="preserve"> </w:t>
      </w:r>
      <m:oMath>
        <m:r>
          <m:rPr/>
          <m:t>A</m:t>
        </m:r>
      </m:oMath>
      <w:r>
        <w:t xml:space="preserve"> </w:t>
      </w:r>
      <w:r>
        <w:t xml:space="preserve">and the pattern matrix</w:t>
      </w:r>
      <w:r>
        <w:t xml:space="preserve"> </w:t>
      </w:r>
      <m:oMath>
        <m:r>
          <m:rPr/>
          <m:t>S</m:t>
        </m:r>
      </m:oMath>
      <w:r>
        <w:t xml:space="preserve">. We note that ICA lacks identifiability for Gaussian data, which may limit applications of this method in genomics.</w:t>
      </w:r>
    </w:p>
    <w:p>
      <w:pPr>
        <w:pStyle w:val="BodyText"/>
      </w:pPr>
      <w:r>
        <w:t xml:space="preserve">Non-negative matrix factorization (NMF) is a group of algorithms that constrains all elements of the</w:t>
      </w:r>
      <w:r>
        <w:t xml:space="preserve"> </w:t>
      </w:r>
      <m:oMath>
        <m:r>
          <m:rPr/>
          <m:t>U</m:t>
        </m:r>
      </m:oMath>
      <w:r>
        <w:t xml:space="preserve"> </w:t>
      </w:r>
      <w:r>
        <w:t xml:space="preserve">and</w:t>
      </w:r>
      <w:r>
        <w:t xml:space="preserve"> </w:t>
      </w:r>
      <m:oMath>
        <m:r>
          <m:rPr/>
          <m:t>V</m:t>
        </m:r>
      </m:oMath>
      <w:r>
        <w:t xml:space="preserve"> </w:t>
      </w:r>
      <w:r>
        <w:t xml:space="preserve">matrices to be greater than or equal to zero. The non-negativity constraint makes the representation purely additive, with no sources that can explain the data by removing signal. This non-negativity often results in NMF producing a sparse representation of the data. The additivity and sparsity make the</w:t>
      </w:r>
      <w:r>
        <w:t xml:space="preserve"> </w:t>
      </w:r>
      <m:oMath>
        <m:r>
          <m:rPr/>
          <m:t>k</m:t>
        </m:r>
      </m:oMath>
      <w:r>
        <w:t xml:space="preserve"> </w:t>
      </w:r>
      <w:r>
        <w:t xml:space="preserve">features inferred from NMF easy to interpret as the set of active components of the data that will give the original data when added together. Often,</w:t>
      </w:r>
      <w:r>
        <w:t xml:space="preserve"> </w:t>
      </w:r>
      <m:oMath>
        <m:r>
          <m:rPr/>
          <m:t>U</m:t>
        </m:r>
      </m:oMath>
      <w:r>
        <w:t xml:space="preserve"> </w:t>
      </w:r>
      <w:r>
        <w:t xml:space="preserve">is represented as the variable</w:t>
      </w:r>
      <w:r>
        <w:t xml:space="preserve"> </w:t>
      </w:r>
      <m:oMath>
        <m:r>
          <m:rPr/>
          <m:t>W</m:t>
        </m:r>
      </m:oMath>
      <w:r>
        <w:t xml:space="preserve"> </w:t>
      </w:r>
      <w:r>
        <w:t xml:space="preserve">and</w:t>
      </w:r>
      <w:r>
        <w:t xml:space="preserve"> </w:t>
      </w:r>
      <m:oMath>
        <m:r>
          <m:rPr/>
          <m:t>V</m:t>
        </m:r>
      </m:oMath>
      <w:r>
        <w:t xml:space="preserve"> </w:t>
      </w:r>
      <w:r>
        <w:t xml:space="preserve">by the variable</w:t>
      </w:r>
      <w:r>
        <w:t xml:space="preserve"> </w:t>
      </w:r>
      <m:oMath>
        <m:r>
          <m:rPr/>
          <m:t>H</m:t>
        </m:r>
      </m:oMath>
      <w:r>
        <w:t xml:space="preserve">.</w:t>
      </w:r>
    </w:p>
    <w:p>
      <w:pPr>
        <w:pStyle w:val="Heading1"/>
      </w:pPr>
      <w:bookmarkStart w:id="24" w:name="gtex-example"/>
      <w:bookmarkEnd w:id="24"/>
      <w:r>
        <w:t xml:space="preserve">GTEx example</w:t>
      </w:r>
    </w:p>
    <w:p>
      <w:pPr>
        <w:pStyle w:val="Heading2"/>
      </w:pPr>
      <w:bookmarkStart w:id="25" w:name="r-packages-and-session-info"/>
      <w:bookmarkEnd w:id="25"/>
      <w:r>
        <w:t xml:space="preserve">R packages and session info</w:t>
      </w:r>
    </w:p>
    <w:p>
      <w:pPr>
        <w:pStyle w:val="SourceCode"/>
      </w:pPr>
      <w:r>
        <w:rPr>
          <w:rStyle w:val="KeywordTok"/>
        </w:rPr>
        <w:t xml:space="preserve">library</w:t>
      </w:r>
      <w:r>
        <w:rPr>
          <w:rStyle w:val="NormalTok"/>
        </w:rPr>
        <w:t xml:space="preserve">(</w:t>
      </w:r>
      <w:r>
        <w:rPr>
          <w:rStyle w:val="StringTok"/>
        </w:rPr>
        <w:t xml:space="preserve">'fastICA'</w:t>
      </w:r>
      <w:r>
        <w:rPr>
          <w:rStyle w:val="NormalTok"/>
        </w:rPr>
        <w:t xml:space="preserve">)</w:t>
      </w:r>
      <w:r>
        <w:br w:type="textWrapping"/>
      </w:r>
      <w:r>
        <w:rPr>
          <w:rStyle w:val="KeywordTok"/>
        </w:rPr>
        <w:t xml:space="preserve">library</w:t>
      </w:r>
      <w:r>
        <w:rPr>
          <w:rStyle w:val="NormalTok"/>
        </w:rPr>
        <w:t xml:space="preserve">(</w:t>
      </w:r>
      <w:r>
        <w:rPr>
          <w:rStyle w:val="StringTok"/>
        </w:rPr>
        <w:t xml:space="preserve">'pca3d'</w:t>
      </w:r>
      <w:r>
        <w:rPr>
          <w:rStyle w:val="NormalTok"/>
        </w:rPr>
        <w:t xml:space="preserve">)</w:t>
      </w:r>
      <w:r>
        <w:br w:type="textWrapping"/>
      </w: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macOS Sierra 10.12.6</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pca3d_0.10    fastICA_1.2-1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rgl_0.98.1      Rcpp_0.12.14    digest_0.6.13   rprojroot_1.2  </w:t>
      </w:r>
      <w:r>
        <w:br w:type="textWrapping"/>
      </w:r>
      <w:r>
        <w:rPr>
          <w:rStyle w:val="VerbatimChar"/>
        </w:rPr>
        <w:t xml:space="preserve">##  [5] mime_0.5        R6_2.2.2        xtable_1.8-2    jsonlite_1.5   </w:t>
      </w:r>
      <w:r>
        <w:br w:type="textWrapping"/>
      </w:r>
      <w:r>
        <w:rPr>
          <w:rStyle w:val="VerbatimChar"/>
        </w:rPr>
        <w:t xml:space="preserve">##  [9] backports_1.1.0 magrittr_1.5    ellipse_0.3-8   evaluate_0.10.1</w:t>
      </w:r>
      <w:r>
        <w:br w:type="textWrapping"/>
      </w:r>
      <w:r>
        <w:rPr>
          <w:rStyle w:val="VerbatimChar"/>
        </w:rPr>
        <w:t xml:space="preserve">## [13] stringi_1.1.5   rmarkdown_1.5   tools_3.3.3     stringr_1.2.0  </w:t>
      </w:r>
      <w:r>
        <w:br w:type="textWrapping"/>
      </w:r>
      <w:r>
        <w:rPr>
          <w:rStyle w:val="VerbatimChar"/>
        </w:rPr>
        <w:t xml:space="preserve">## [17] htmlwidgets_0.9 shiny_1.0.5     httpuv_1.3.5    yaml_2.1.16    </w:t>
      </w:r>
      <w:r>
        <w:br w:type="textWrapping"/>
      </w:r>
      <w:r>
        <w:rPr>
          <w:rStyle w:val="VerbatimChar"/>
        </w:rPr>
        <w:t xml:space="preserve">## [21] htmltools_0.3.6 knitr_1.18</w:t>
      </w:r>
    </w:p>
    <w:p>
      <w:pPr>
        <w:pStyle w:val="Heading2"/>
      </w:pPr>
      <w:bookmarkStart w:id="26" w:name="loading-in-gtex-data"/>
      <w:bookmarkEnd w:id="26"/>
      <w:r>
        <w:t xml:space="preserve">Loading in GTEx data</w:t>
      </w:r>
    </w:p>
    <w:p>
      <w:pPr>
        <w:pStyle w:val="SourceCode"/>
      </w:pPr>
      <w:r>
        <w:rPr>
          <w:rStyle w:val="KeywordTok"/>
        </w:rPr>
        <w:t xml:space="preserve">load</w:t>
      </w:r>
      <w:r>
        <w:rPr>
          <w:rStyle w:val="NormalTok"/>
        </w:rPr>
        <w:t xml:space="preserve">(</w:t>
      </w:r>
      <w:r>
        <w:rPr>
          <w:rStyle w:val="StringTok"/>
        </w:rPr>
        <w:t xml:space="preserve">'GTExGeneRPKM.SUB10Brain.RData'</w:t>
      </w:r>
      <w:r>
        <w:rPr>
          <w:rStyle w:val="NormalTok"/>
        </w:rPr>
        <w:t xml:space="preserve">)</w:t>
      </w:r>
    </w:p>
    <w:p>
      <w:pPr>
        <w:pStyle w:val="FirstParagraph"/>
      </w:pPr>
      <w:r>
        <w:t xml:space="preserve">We load in the RPKM values from the subset of GTEx data in brain tissues which we previously analyzed with GWCoGAPS in Stein-O'Brien et al,</w:t>
      </w:r>
      <w:r>
        <w:t xml:space="preserve"> </w:t>
      </w:r>
      <w:r>
        <w:rPr>
          <w:i/>
        </w:rPr>
        <w:t xml:space="preserve">Bioinformatics</w:t>
      </w:r>
      <w:r>
        <w:t xml:space="preserve">, 2017, doi: 10.1093/bioinformatics/btx058.</w:t>
      </w:r>
    </w:p>
    <w:p>
      <w:pPr>
        <w:pStyle w:val="BodyText"/>
      </w:pPr>
      <w:r>
        <w:t xml:space="preserve">The tissue samples in this dataset are as follows: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(pd.GTExGeneRPKM.SUB10Brain$SMUBRTRM))</w:t>
      </w:r>
    </w:p>
    <w:p>
      <w:pPr>
        <w:pStyle w:val="SourceCode"/>
      </w:pPr>
      <w:r>
        <w:rPr>
          <w:rStyle w:val="VerbatimChar"/>
        </w:rPr>
        <w:t xml:space="preserve">## [1] 12</w:t>
      </w:r>
    </w:p>
    <w:p>
      <w:pPr>
        <w:pStyle w:val="SourceCode"/>
      </w:pPr>
      <w:r>
        <w:rPr>
          <w:rStyle w:val="KeywordTok"/>
        </w:rPr>
        <w:t xml:space="preserve">unique</w:t>
      </w:r>
      <w:r>
        <w:rPr>
          <w:rStyle w:val="NormalTok"/>
        </w:rPr>
        <w:t xml:space="preserve">(pd.GTExGeneRPKM.SUB10Brain$SMUBRTRM)</w:t>
      </w:r>
    </w:p>
    <w:p>
      <w:pPr>
        <w:pStyle w:val="SourceCode"/>
      </w:pPr>
      <w:r>
        <w:rPr>
          <w:rStyle w:val="VerbatimChar"/>
        </w:rPr>
        <w:t xml:space="preserve">##  [1] "amygdala"                          </w:t>
      </w:r>
      <w:r>
        <w:br w:type="textWrapping"/>
      </w:r>
      <w:r>
        <w:rPr>
          <w:rStyle w:val="VerbatimChar"/>
        </w:rPr>
        <w:t xml:space="preserve">##  [2] "anterior cingulate cortex"         </w:t>
      </w:r>
      <w:r>
        <w:br w:type="textWrapping"/>
      </w:r>
      <w:r>
        <w:rPr>
          <w:rStyle w:val="VerbatimChar"/>
        </w:rPr>
        <w:t xml:space="preserve">##  [3] "caudate nucleus"                   </w:t>
      </w:r>
      <w:r>
        <w:br w:type="textWrapping"/>
      </w:r>
      <w:r>
        <w:rPr>
          <w:rStyle w:val="VerbatimChar"/>
        </w:rPr>
        <w:t xml:space="preserve">##  [4] "cerebellum"                        </w:t>
      </w:r>
      <w:r>
        <w:br w:type="textWrapping"/>
      </w:r>
      <w:r>
        <w:rPr>
          <w:rStyle w:val="VerbatimChar"/>
        </w:rPr>
        <w:t xml:space="preserve">##  [5] "frontal cortex"                    </w:t>
      </w:r>
      <w:r>
        <w:br w:type="textWrapping"/>
      </w:r>
      <w:r>
        <w:rPr>
          <w:rStyle w:val="VerbatimChar"/>
        </w:rPr>
        <w:t xml:space="preserve">##  [6] "dorsolateral prefrontal cortex"    </w:t>
      </w:r>
      <w:r>
        <w:br w:type="textWrapping"/>
      </w:r>
      <w:r>
        <w:rPr>
          <w:rStyle w:val="VerbatimChar"/>
        </w:rPr>
        <w:t xml:space="preserve">##  [7] "Ammon's horn"                      </w:t>
      </w:r>
      <w:r>
        <w:br w:type="textWrapping"/>
      </w:r>
      <w:r>
        <w:rPr>
          <w:rStyle w:val="VerbatimChar"/>
        </w:rPr>
        <w:t xml:space="preserve">##  [8] "hypothalamus"                      </w:t>
      </w:r>
      <w:r>
        <w:br w:type="textWrapping"/>
      </w:r>
      <w:r>
        <w:rPr>
          <w:rStyle w:val="VerbatimChar"/>
        </w:rPr>
        <w:t xml:space="preserve">##  [9] "nucleus accumbens"                 </w:t>
      </w:r>
      <w:r>
        <w:br w:type="textWrapping"/>
      </w:r>
      <w:r>
        <w:rPr>
          <w:rStyle w:val="VerbatimChar"/>
        </w:rPr>
        <w:t xml:space="preserve">## [10] "putamen"                           </w:t>
      </w:r>
      <w:r>
        <w:br w:type="textWrapping"/>
      </w:r>
      <w:r>
        <w:rPr>
          <w:rStyle w:val="VerbatimChar"/>
        </w:rPr>
        <w:t xml:space="preserve">## [11] "first cervical spinal cord segment"</w:t>
      </w:r>
      <w:r>
        <w:br w:type="textWrapping"/>
      </w:r>
      <w:r>
        <w:rPr>
          <w:rStyle w:val="VerbatimChar"/>
        </w:rPr>
        <w:t xml:space="preserve">## [12] "substantia nigra"</w:t>
      </w:r>
    </w:p>
    <w:p>
      <w:pPr>
        <w:pStyle w:val="FirstParagraph"/>
      </w:pPr>
      <w:r>
        <w:t xml:space="preserve">The individuals in this dataset are as follows: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(pd.GTExGeneRPKM.SUB10Brain$SubjectID))</w:t>
      </w:r>
    </w:p>
    <w:p>
      <w:pPr>
        <w:pStyle w:val="SourceCode"/>
      </w:pPr>
      <w:r>
        <w:rPr>
          <w:rStyle w:val="VerbatimChar"/>
        </w:rPr>
        <w:t xml:space="preserve">## [1] 7</w:t>
      </w:r>
    </w:p>
    <w:p>
      <w:pPr>
        <w:pStyle w:val="SourceCode"/>
      </w:pPr>
      <w:r>
        <w:rPr>
          <w:rStyle w:val="KeywordTok"/>
        </w:rPr>
        <w:t xml:space="preserve">table</w:t>
      </w:r>
      <w:r>
        <w:rPr>
          <w:rStyle w:val="NormalTok"/>
        </w:rPr>
        <w:t xml:space="preserve">(pd.GTExGeneRPKM.SUB10Brain$SubjectID,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pd.GTExGeneRPKM.SUB10Brain$SMUBRTRM)</w:t>
      </w:r>
    </w:p>
    <w:p>
      <w:pPr>
        <w:pStyle w:val="SourceCode"/>
      </w:pPr>
      <w:r>
        <w:rPr>
          <w:rStyle w:val="VerbatimChar"/>
        </w:rPr>
        <w:t xml:space="preserve">##             </w:t>
      </w:r>
      <w:r>
        <w:br w:type="textWrapping"/>
      </w:r>
      <w:r>
        <w:rPr>
          <w:rStyle w:val="VerbatimChar"/>
        </w:rPr>
        <w:t xml:space="preserve">##              Ammon's horn amygdala anterior cingulate cortex</w:t>
      </w:r>
      <w:r>
        <w:br w:type="textWrapping"/>
      </w:r>
      <w:r>
        <w:rPr>
          <w:rStyle w:val="VerbatimChar"/>
        </w:rPr>
        <w:t xml:space="preserve">##   GTEX-11GSP            0        0                         0</w:t>
      </w:r>
      <w:r>
        <w:br w:type="textWrapping"/>
      </w:r>
      <w:r>
        <w:rPr>
          <w:rStyle w:val="VerbatimChar"/>
        </w:rPr>
        <w:t xml:space="preserve">##   GTEX-11O72            0        0                         0</w:t>
      </w:r>
      <w:r>
        <w:br w:type="textWrapping"/>
      </w:r>
      <w:r>
        <w:rPr>
          <w:rStyle w:val="VerbatimChar"/>
        </w:rPr>
        <w:t xml:space="preserve">##   GTEX-11OF3            0        0                         0</w:t>
      </w:r>
      <w:r>
        <w:br w:type="textWrapping"/>
      </w:r>
      <w:r>
        <w:rPr>
          <w:rStyle w:val="VerbatimChar"/>
        </w:rPr>
        <w:t xml:space="preserve">##   GTEX-11TUW            0        0                         0</w:t>
      </w:r>
      <w:r>
        <w:br w:type="textWrapping"/>
      </w:r>
      <w:r>
        <w:rPr>
          <w:rStyle w:val="VerbatimChar"/>
        </w:rPr>
        <w:t xml:space="preserve">##   GTEX-Q2AG             1        1                         1</w:t>
      </w:r>
      <w:r>
        <w:br w:type="textWrapping"/>
      </w:r>
      <w:r>
        <w:rPr>
          <w:rStyle w:val="VerbatimChar"/>
        </w:rPr>
        <w:t xml:space="preserve">##   GTEX-QDT8             1        1                         1</w:t>
      </w:r>
      <w:r>
        <w:br w:type="textWrapping"/>
      </w:r>
      <w:r>
        <w:rPr>
          <w:rStyle w:val="VerbatimChar"/>
        </w:rPr>
        <w:t xml:space="preserve">##   GTEX-ZAB4             1        1                         1</w:t>
      </w:r>
      <w:r>
        <w:br w:type="textWrapping"/>
      </w:r>
      <w:r>
        <w:rPr>
          <w:rStyle w:val="VerbatimChar"/>
        </w:rPr>
        <w:t xml:space="preserve">##             </w:t>
      </w:r>
      <w:r>
        <w:br w:type="textWrapping"/>
      </w:r>
      <w:r>
        <w:rPr>
          <w:rStyle w:val="VerbatimChar"/>
        </w:rPr>
        <w:t xml:space="preserve">##              caudate nucleus cerebellum dorsolateral prefrontal cortex</w:t>
      </w:r>
      <w:r>
        <w:br w:type="textWrapping"/>
      </w:r>
      <w:r>
        <w:rPr>
          <w:rStyle w:val="VerbatimChar"/>
        </w:rPr>
        <w:t xml:space="preserve">##   GTEX-11GSP               1          2                              1</w:t>
      </w:r>
      <w:r>
        <w:br w:type="textWrapping"/>
      </w:r>
      <w:r>
        <w:rPr>
          <w:rStyle w:val="VerbatimChar"/>
        </w:rPr>
        <w:t xml:space="preserve">##   GTEX-11O72               0          1                              0</w:t>
      </w:r>
      <w:r>
        <w:br w:type="textWrapping"/>
      </w:r>
      <w:r>
        <w:rPr>
          <w:rStyle w:val="VerbatimChar"/>
        </w:rPr>
        <w:t xml:space="preserve">##   GTEX-11OF3               1          2                              0</w:t>
      </w:r>
      <w:r>
        <w:br w:type="textWrapping"/>
      </w:r>
      <w:r>
        <w:rPr>
          <w:rStyle w:val="VerbatimChar"/>
        </w:rPr>
        <w:t xml:space="preserve">##   GTEX-11TUW               1          0                              0</w:t>
      </w:r>
      <w:r>
        <w:br w:type="textWrapping"/>
      </w:r>
      <w:r>
        <w:rPr>
          <w:rStyle w:val="VerbatimChar"/>
        </w:rPr>
        <w:t xml:space="preserve">##   GTEX-Q2AG                1          2                              1</w:t>
      </w:r>
      <w:r>
        <w:br w:type="textWrapping"/>
      </w:r>
      <w:r>
        <w:rPr>
          <w:rStyle w:val="VerbatimChar"/>
        </w:rPr>
        <w:t xml:space="preserve">##   GTEX-QDT8                1          2                              1</w:t>
      </w:r>
      <w:r>
        <w:br w:type="textWrapping"/>
      </w:r>
      <w:r>
        <w:rPr>
          <w:rStyle w:val="VerbatimChar"/>
        </w:rPr>
        <w:t xml:space="preserve">##   GTEX-ZAB4                1          2                              1</w:t>
      </w:r>
      <w:r>
        <w:br w:type="textWrapping"/>
      </w:r>
      <w:r>
        <w:rPr>
          <w:rStyle w:val="VerbatimChar"/>
        </w:rPr>
        <w:t xml:space="preserve">##             </w:t>
      </w:r>
      <w:r>
        <w:br w:type="textWrapping"/>
      </w:r>
      <w:r>
        <w:rPr>
          <w:rStyle w:val="VerbatimChar"/>
        </w:rPr>
        <w:t xml:space="preserve">##              first cervical spinal cord segment frontal cortex</w:t>
      </w:r>
      <w:r>
        <w:br w:type="textWrapping"/>
      </w:r>
      <w:r>
        <w:rPr>
          <w:rStyle w:val="VerbatimChar"/>
        </w:rPr>
        <w:t xml:space="preserve">##   GTEX-11GSP                                  1              1</w:t>
      </w:r>
      <w:r>
        <w:br w:type="textWrapping"/>
      </w:r>
      <w:r>
        <w:rPr>
          <w:rStyle w:val="VerbatimChar"/>
        </w:rPr>
        <w:t xml:space="preserve">##   GTEX-11O72                                  0              1</w:t>
      </w:r>
      <w:r>
        <w:br w:type="textWrapping"/>
      </w:r>
      <w:r>
        <w:rPr>
          <w:rStyle w:val="VerbatimChar"/>
        </w:rPr>
        <w:t xml:space="preserve">##   GTEX-11OF3                                  0              1</w:t>
      </w:r>
      <w:r>
        <w:br w:type="textWrapping"/>
      </w:r>
      <w:r>
        <w:rPr>
          <w:rStyle w:val="VerbatimChar"/>
        </w:rPr>
        <w:t xml:space="preserve">##   GTEX-11TUW                                  0              1</w:t>
      </w:r>
      <w:r>
        <w:br w:type="textWrapping"/>
      </w:r>
      <w:r>
        <w:rPr>
          <w:rStyle w:val="VerbatimChar"/>
        </w:rPr>
        <w:t xml:space="preserve">##   GTEX-Q2AG                                   1              1</w:t>
      </w:r>
      <w:r>
        <w:br w:type="textWrapping"/>
      </w:r>
      <w:r>
        <w:rPr>
          <w:rStyle w:val="VerbatimChar"/>
        </w:rPr>
        <w:t xml:space="preserve">##   GTEX-QDT8                                   2              1</w:t>
      </w:r>
      <w:r>
        <w:br w:type="textWrapping"/>
      </w:r>
      <w:r>
        <w:rPr>
          <w:rStyle w:val="VerbatimChar"/>
        </w:rPr>
        <w:t xml:space="preserve">##   GTEX-ZAB4                                   1              0</w:t>
      </w:r>
      <w:r>
        <w:br w:type="textWrapping"/>
      </w:r>
      <w:r>
        <w:rPr>
          <w:rStyle w:val="VerbatimChar"/>
        </w:rPr>
        <w:t xml:space="preserve">##             </w:t>
      </w:r>
      <w:r>
        <w:br w:type="textWrapping"/>
      </w:r>
      <w:r>
        <w:rPr>
          <w:rStyle w:val="VerbatimChar"/>
        </w:rPr>
        <w:t xml:space="preserve">##              hypothalamus nucleus accumbens putamen substantia nigra</w:t>
      </w:r>
      <w:r>
        <w:br w:type="textWrapping"/>
      </w:r>
      <w:r>
        <w:rPr>
          <w:rStyle w:val="VerbatimChar"/>
        </w:rPr>
        <w:t xml:space="preserve">##   GTEX-11GSP            1                 1       1                0</w:t>
      </w:r>
      <w:r>
        <w:br w:type="textWrapping"/>
      </w:r>
      <w:r>
        <w:rPr>
          <w:rStyle w:val="VerbatimChar"/>
        </w:rPr>
        <w:t xml:space="preserve">##   GTEX-11O72            0                 0       0                0</w:t>
      </w:r>
      <w:r>
        <w:br w:type="textWrapping"/>
      </w:r>
      <w:r>
        <w:rPr>
          <w:rStyle w:val="VerbatimChar"/>
        </w:rPr>
        <w:t xml:space="preserve">##   GTEX-11OF3            1                 1       1                0</w:t>
      </w:r>
      <w:r>
        <w:br w:type="textWrapping"/>
      </w:r>
      <w:r>
        <w:rPr>
          <w:rStyle w:val="VerbatimChar"/>
        </w:rPr>
        <w:t xml:space="preserve">##   GTEX-11TUW            0                 0       0                0</w:t>
      </w:r>
      <w:r>
        <w:br w:type="textWrapping"/>
      </w:r>
      <w:r>
        <w:rPr>
          <w:rStyle w:val="VerbatimChar"/>
        </w:rPr>
        <w:t xml:space="preserve">##   GTEX-Q2AG             1                 1       1                1</w:t>
      </w:r>
      <w:r>
        <w:br w:type="textWrapping"/>
      </w:r>
      <w:r>
        <w:rPr>
          <w:rStyle w:val="VerbatimChar"/>
        </w:rPr>
        <w:t xml:space="preserve">##   GTEX-QDT8             1                 1       1                1</w:t>
      </w:r>
      <w:r>
        <w:br w:type="textWrapping"/>
      </w:r>
      <w:r>
        <w:rPr>
          <w:rStyle w:val="VerbatimChar"/>
        </w:rPr>
        <w:t xml:space="preserve">##   GTEX-ZAB4             1                 1       1                1</w:t>
      </w:r>
    </w:p>
    <w:p>
      <w:pPr>
        <w:pStyle w:val="Heading2"/>
      </w:pPr>
      <w:bookmarkStart w:id="27" w:name="cogaps-nmf-analysis-from-stein-obrien-et-al-bioinformatics-2017"/>
      <w:bookmarkEnd w:id="27"/>
      <w:r>
        <w:t xml:space="preserve">CoGAPS (NMF) analysis from Stein-O'Brien et al, Bioinformatics, 2017</w:t>
      </w:r>
    </w:p>
    <w:p>
      <w:pPr>
        <w:pStyle w:val="SourceCode"/>
      </w:pPr>
      <w:r>
        <w:rPr>
          <w:rStyle w:val="KeywordTok"/>
        </w:rPr>
        <w:t xml:space="preserve">load</w:t>
      </w:r>
      <w:r>
        <w:rPr>
          <w:rStyle w:val="NormalTok"/>
        </w:rPr>
        <w:t xml:space="preserve">(</w:t>
      </w:r>
      <w:r>
        <w:rPr>
          <w:rStyle w:val="StringTok"/>
        </w:rPr>
        <w:t xml:space="preserve">'AP.fixed.SUB10Brain.nP10.nS15.RData'</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(pd.GTExGeneRPKM.SUB10Brain$SMUBRTRM)),AP.fixed$P[i,],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(pd.GTExGeneRPKM.SUB10Brain$SubjectID)),</w:t>
      </w:r>
      <w:r>
        <w:rPr>
          <w:rStyle w:val="DataTypeTok"/>
        </w:rPr>
        <w:t xml:space="preserve">axes=</w:t>
      </w:r>
      <w:r>
        <w:rPr>
          <w:rStyle w:val="NormalTok"/>
        </w:rPr>
        <w:t xml:space="preserve">F,</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Heading2"/>
      </w:pPr>
      <w:bookmarkStart w:id="28" w:name="pca-analysis-of-gtex-data-subset"/>
      <w:bookmarkEnd w:id="28"/>
      <w:r>
        <w:t xml:space="preserve">PCA analysis of GTEx data subset</w:t>
      </w:r>
    </w:p>
    <w:p>
      <w:pPr>
        <w:pStyle w:val="SourceCode"/>
      </w:pPr>
      <w:r>
        <w:rPr>
          <w:rStyle w:val="NormalTok"/>
        </w:rPr>
        <w:t xml:space="preserve">dana &lt;-</w:t>
      </w:r>
      <w:r>
        <w:rPr>
          <w:rStyle w:val="StringTok"/>
        </w:rPr>
        <w:t xml:space="preserve"> </w:t>
      </w:r>
      <w:r>
        <w:rPr>
          <w:rStyle w:val="NormalTok"/>
        </w:rPr>
        <w:t xml:space="preserve">p.GTExGeneRPKM.SUB10Brain.log2[</w:t>
      </w:r>
      <w:r>
        <w:rPr>
          <w:rStyle w:val="KeywordTok"/>
        </w:rPr>
        <w:t xml:space="preserve">row.names</w:t>
      </w:r>
      <w:r>
        <w:rPr>
          <w:rStyle w:val="NormalTok"/>
        </w:rPr>
        <w:t xml:space="preserve">(AP.fixed$A),]</w:t>
      </w:r>
      <w:r>
        <w:br w:type="textWrapping"/>
      </w:r>
      <w:r>
        <w:br w:type="textWrapping"/>
      </w:r>
      <w:r>
        <w:rPr>
          <w:rStyle w:val="NormalTok"/>
        </w:rPr>
        <w:t xml:space="preserve">eigs &lt;-</w:t>
      </w:r>
      <w:r>
        <w:rPr>
          <w:rStyle w:val="StringTok"/>
        </w:rPr>
        <w:t xml:space="preserve"> </w:t>
      </w:r>
      <w:r>
        <w:rPr>
          <w:rStyle w:val="KeywordTok"/>
        </w:rPr>
        <w:t xml:space="preserve">princomp</w:t>
      </w:r>
      <w:r>
        <w:rPr>
          <w:rStyle w:val="NormalTok"/>
        </w:rPr>
        <w:t xml:space="preserve">(</w:t>
      </w:r>
      <w:r>
        <w:rPr>
          <w:rStyle w:val="KeywordTok"/>
        </w:rPr>
        <w:t xml:space="preserve">cor</w:t>
      </w:r>
      <w:r>
        <w:rPr>
          <w:rStyle w:val="NormalTok"/>
        </w:rPr>
        <w:t xml:space="preserve">(dana))$sdev^</w:t>
      </w:r>
      <w:r>
        <w:rPr>
          <w:rStyle w:val="DecValTok"/>
        </w:rPr>
        <w:t xml:space="preserve">2</w:t>
      </w:r>
      <w:r>
        <w:br w:type="textWrapping"/>
      </w:r>
      <w:r>
        <w:rPr>
          <w:rStyle w:val="NormalTok"/>
        </w:rPr>
        <w:t xml:space="preserve">eigs &lt;-</w:t>
      </w:r>
      <w:r>
        <w:rPr>
          <w:rStyle w:val="StringTok"/>
        </w:rPr>
        <w:t xml:space="preserve"> </w:t>
      </w:r>
      <w:r>
        <w:rPr>
          <w:rStyle w:val="NormalTok"/>
        </w:rPr>
        <w:t xml:space="preserve">eigs/</w:t>
      </w:r>
      <w:r>
        <w:rPr>
          <w:rStyle w:val="KeywordTok"/>
        </w:rPr>
        <w:t xml:space="preserve">sum</w:t>
      </w:r>
      <w:r>
        <w:rPr>
          <w:rStyle w:val="NormalTok"/>
        </w:rPr>
        <w:t xml:space="preserve">(eigs)</w:t>
      </w:r>
      <w:r>
        <w:br w:type="textWrapping"/>
      </w:r>
      <w:r>
        <w:br w:type="textWrapping"/>
      </w:r>
      <w:r>
        <w:rPr>
          <w:rStyle w:val="KeywordTok"/>
        </w:rPr>
        <w:t xml:space="preserve">barplot</w:t>
      </w:r>
      <w:r>
        <w:rPr>
          <w:rStyle w:val="NormalTok"/>
        </w:rPr>
        <w:t xml:space="preserve">(eigs[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ylab=</w:t>
      </w:r>
      <w:r>
        <w:rPr>
          <w:rStyle w:val="StringTok"/>
        </w:rPr>
        <w:t xml:space="preserve">'Proportion of variance'</w:t>
      </w:r>
      <w:r>
        <w:rPr>
          <w:rStyle w:val="NormalTok"/>
        </w:rPr>
        <w:t xml:space="preserve">)</w:t>
      </w:r>
    </w:p>
    <w:p>
      <w:pPr>
        <w:pStyle w:val="FirstParagraph"/>
      </w:pPr>
    </w:p>
    <w:p>
      <w:pPr>
        <w:pStyle w:val="SourceCode"/>
      </w:pPr>
      <w:r>
        <w:rPr>
          <w:rStyle w:val="KeywordTok"/>
        </w:rPr>
        <w:t xml:space="preserve">sum</w:t>
      </w:r>
      <w:r>
        <w:rPr>
          <w:rStyle w:val="NormalTok"/>
        </w:rPr>
        <w:t xml:space="preserve">(eigs[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0.8960462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pca2d</w:t>
      </w:r>
      <w:r>
        <w:rPr>
          <w:rStyle w:val="NormalTok"/>
        </w:rPr>
        <w:t xml:space="preserve">(</w:t>
      </w:r>
      <w:r>
        <w:rPr>
          <w:rStyle w:val="KeywordTok"/>
        </w:rPr>
        <w:t xml:space="preserve">princomp</w:t>
      </w:r>
      <w:r>
        <w:rPr>
          <w:rStyle w:val="NormalTok"/>
        </w:rPr>
        <w:t xml:space="preserve">(</w:t>
      </w:r>
      <w:r>
        <w:rPr>
          <w:rStyle w:val="KeywordTok"/>
        </w:rPr>
        <w:t xml:space="preserve">cor</w:t>
      </w:r>
      <w:r>
        <w:rPr>
          <w:rStyle w:val="NormalTok"/>
        </w:rPr>
        <w:t xml:space="preserve">(dana)),</w:t>
      </w:r>
      <w:r>
        <w:rPr>
          <w:rStyle w:val="DataTypeTok"/>
        </w:rPr>
        <w:t xml:space="preserve">col=</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(pd.GTExGeneRPKM.SUB10Brain$SMUBRTRM)))</w:t>
      </w:r>
      <w:r>
        <w:br w:type="textWrapping"/>
      </w:r>
      <w:r>
        <w:rPr>
          <w:rStyle w:val="KeywordTok"/>
        </w:rPr>
        <w:t xml:space="preserve">title</w:t>
      </w:r>
      <w:r>
        <w:rPr>
          <w:rStyle w:val="NormalTok"/>
        </w:rPr>
        <w:t xml:space="preserve">(</w:t>
      </w:r>
      <w:r>
        <w:rPr>
          <w:rStyle w:val="StringTok"/>
        </w:rPr>
        <w:t xml:space="preserve">'PCA colored by tissue type'</w:t>
      </w:r>
      <w:r>
        <w:rPr>
          <w:rStyle w:val="NormalTok"/>
        </w:rPr>
        <w:t xml:space="preserve">)</w:t>
      </w:r>
      <w:r>
        <w:br w:type="textWrapping"/>
      </w:r>
      <w:r>
        <w:br w:type="textWrapping"/>
      </w:r>
      <w:r>
        <w:rPr>
          <w:rStyle w:val="KeywordTok"/>
        </w:rPr>
        <w:t xml:space="preserve">pca2d</w:t>
      </w:r>
      <w:r>
        <w:rPr>
          <w:rStyle w:val="NormalTok"/>
        </w:rPr>
        <w:t xml:space="preserve">(</w:t>
      </w:r>
      <w:r>
        <w:rPr>
          <w:rStyle w:val="KeywordTok"/>
        </w:rPr>
        <w:t xml:space="preserve">princomp</w:t>
      </w:r>
      <w:r>
        <w:rPr>
          <w:rStyle w:val="NormalTok"/>
        </w:rPr>
        <w:t xml:space="preserve">(</w:t>
      </w:r>
      <w:r>
        <w:rPr>
          <w:rStyle w:val="KeywordTok"/>
        </w:rPr>
        <w:t xml:space="preserve">cor</w:t>
      </w:r>
      <w:r>
        <w:rPr>
          <w:rStyle w:val="NormalTok"/>
        </w:rPr>
        <w:t xml:space="preserve">(dana)),</w:t>
      </w:r>
      <w:r>
        <w:rPr>
          <w:rStyle w:val="DataTypeTok"/>
        </w:rPr>
        <w:t xml:space="preserve">col=</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(pd.GTExGeneRPKM.SUB10Brain$SubjectID)))</w:t>
      </w:r>
      <w:r>
        <w:br w:type="textWrapping"/>
      </w:r>
      <w:r>
        <w:rPr>
          <w:rStyle w:val="KeywordTok"/>
        </w:rPr>
        <w:t xml:space="preserve">title</w:t>
      </w:r>
      <w:r>
        <w:rPr>
          <w:rStyle w:val="NormalTok"/>
        </w:rPr>
        <w:t xml:space="preserve">(</w:t>
      </w:r>
      <w:r>
        <w:rPr>
          <w:rStyle w:val="StringTok"/>
        </w:rPr>
        <w:t xml:space="preserve">'PCA colored by GTeX subject'</w:t>
      </w:r>
      <w:r>
        <w:rPr>
          <w:rStyle w:val="NormalTok"/>
        </w:rPr>
        <w:t xml:space="preserve">)</w:t>
      </w:r>
    </w:p>
    <w:p>
      <w:pPr>
        <w:pStyle w:val="FirstParagraph"/>
      </w:pP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col=</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col=</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(pd.GTExGeneRPKM.SUB10Brain$SubjectID))),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(pd.GTExGeneRPKM.SUB10Brain$SubjectID)))</w:t>
      </w:r>
    </w:p>
    <w:p>
      <w:pPr>
        <w:pStyle w:val="FirstParagraph"/>
      </w:pPr>
    </w:p>
    <w:p>
      <w:pPr>
        <w:pStyle w:val="Heading2"/>
      </w:pPr>
      <w:bookmarkStart w:id="29" w:name="ica-analysis-of-gtex-data-subset"/>
      <w:bookmarkEnd w:id="29"/>
      <w:r>
        <w:t xml:space="preserve">ICA analysis of GTEx data subset</w:t>
      </w:r>
    </w:p>
    <w:p>
      <w:pPr>
        <w:pStyle w:val="SourceCode"/>
      </w:pPr>
      <w:r>
        <w:rPr>
          <w:rStyle w:val="NormalTok"/>
        </w:rPr>
        <w:t xml:space="preserve">dana &lt;-</w:t>
      </w:r>
      <w:r>
        <w:rPr>
          <w:rStyle w:val="StringTok"/>
        </w:rPr>
        <w:t xml:space="preserve"> </w:t>
      </w:r>
      <w:r>
        <w:rPr>
          <w:rStyle w:val="NormalTok"/>
        </w:rPr>
        <w:t xml:space="preserve">dana[</w:t>
      </w:r>
      <w:r>
        <w:rPr>
          <w:rStyle w:val="KeywordTok"/>
        </w:rPr>
        <w:t xml:space="preserve">apply</w:t>
      </w:r>
      <w:r>
        <w:rPr>
          <w:rStyle w:val="NormalTok"/>
        </w:rPr>
        <w:t xml:space="preserve">(dana,</w:t>
      </w:r>
      <w:r>
        <w:rPr>
          <w:rStyle w:val="DecValTok"/>
        </w:rPr>
        <w:t xml:space="preserve">1</w:t>
      </w:r>
      <w:r>
        <w:rPr>
          <w:rStyle w:val="NormalTok"/>
        </w:rPr>
        <w:t xml:space="preserve">,sd)&gt;</w:t>
      </w:r>
      <w:r>
        <w:rPr>
          <w:rStyle w:val="DecValTok"/>
        </w:rPr>
        <w:t xml:space="preserve">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w:t>
      </w:r>
      <w:r>
        <w:rPr>
          <w:rStyle w:val="NormalTok"/>
        </w:rPr>
        <w:t xml:space="preserve">)</w:t>
      </w:r>
      <w:r>
        <w:br w:type="textWrapping"/>
      </w:r>
      <w:r>
        <w:rPr>
          <w:rStyle w:val="NormalTok"/>
        </w:rPr>
        <w:t xml:space="preserve">ica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 (p in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ica[[</w:t>
      </w:r>
      <w:r>
        <w:rPr>
          <w:rStyle w:val="KeywordTok"/>
        </w:rPr>
        <w:t xml:space="preserve">paste</w:t>
      </w:r>
      <w:r>
        <w:rPr>
          <w:rStyle w:val="NormalTok"/>
        </w:rPr>
        <w:t xml:space="preserve">(</w:t>
      </w:r>
      <w:r>
        <w:rPr>
          <w:rStyle w:val="StringTok"/>
        </w:rPr>
        <w:t xml:space="preserve">'p'</w:t>
      </w:r>
      <w:r>
        <w:rPr>
          <w:rStyle w:val="NormalTok"/>
        </w:rPr>
        <w:t xml:space="preserve">,p)]] &lt;-</w:t>
      </w:r>
      <w:r>
        <w:rPr>
          <w:rStyle w:val="StringTok"/>
        </w:rPr>
        <w:t xml:space="preserve"> </w:t>
      </w:r>
      <w:r>
        <w:rPr>
          <w:rStyle w:val="KeywordTok"/>
        </w:rPr>
        <w:t xml:space="preserve">fastICA</w:t>
      </w:r>
      <w:r>
        <w:rPr>
          <w:rStyle w:val="NormalTok"/>
        </w:rPr>
        <w:t xml:space="preserve">(dana,</w:t>
      </w:r>
      <w:r>
        <w:rPr>
          <w:rStyle w:val="DataTypeTok"/>
        </w:rPr>
        <w:t xml:space="preserve">n.comp =</w:t>
      </w:r>
      <w:r>
        <w:rPr>
          <w:rStyle w:val="NormalTok"/>
        </w:rPr>
        <w:t xml:space="preserve"> </w:t>
      </w:r>
      <w:r>
        <w:rPr>
          <w:rStyle w:val="NormalTok"/>
        </w:rPr>
        <w:t xml:space="preserve">p)</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(pd.GTExGeneRPKM.SUB10Brain$SMUBRTRM)),ica$</w:t>
      </w:r>
      <w:r>
        <w:rPr>
          <w:rStyle w:val="StringTok"/>
        </w:rPr>
        <w:t xml:space="preserve">`</w:t>
      </w:r>
      <w:r>
        <w:rPr>
          <w:rStyle w:val="DataTypeTok"/>
        </w:rPr>
        <w:t xml:space="preserve">p 10</w:t>
      </w:r>
      <w:r>
        <w:rPr>
          <w:rStyle w:val="StringTok"/>
        </w:rPr>
        <w:t xml:space="preserve">`</w:t>
      </w:r>
      <w:r>
        <w:rPr>
          <w:rStyle w:val="NormalTok"/>
        </w:rPr>
        <w:t xml:space="preserve">$A[i,],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as.numeric</w:t>
      </w:r>
      <w:r>
        <w:rPr>
          <w:rStyle w:val="NormalTok"/>
        </w:rPr>
        <w:t xml:space="preserve">(</w:t>
      </w:r>
      <w:r>
        <w:rPr>
          <w:rStyle w:val="KeywordTok"/>
        </w:rPr>
        <w:t xml:space="preserve">as.factor</w:t>
      </w:r>
      <w:r>
        <w:rPr>
          <w:rStyle w:val="NormalTok"/>
        </w:rPr>
        <w:t xml:space="preserve">(pd.GTExGeneRPKM.SUB10Brain$SubjectID)),</w:t>
      </w:r>
      <w:r>
        <w:rPr>
          <w:rStyle w:val="DataTypeTok"/>
        </w:rPr>
        <w:t xml:space="preserve">axes=</w:t>
      </w:r>
      <w:r>
        <w:rPr>
          <w:rStyle w:val="NormalTok"/>
        </w:rPr>
        <w:t xml:space="preserve">F,</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levels</w:t>
      </w:r>
      <w:r>
        <w:rPr>
          <w:rStyle w:val="NormalTok"/>
        </w:rPr>
        <w:t xml:space="preserve">(</w:t>
      </w:r>
      <w:r>
        <w:rPr>
          <w:rStyle w:val="KeywordTok"/>
        </w:rPr>
        <w:t xml:space="preserve">as.factor</w:t>
      </w:r>
      <w:r>
        <w:rPr>
          <w:rStyle w:val="NormalTok"/>
        </w:rPr>
        <w:t xml:space="preserve">(pd.GTExGeneRPKM.SUB10Brain$SMUBRTRM)),</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Heading2"/>
      </w:pPr>
      <w:bookmarkStart w:id="30" w:name="comparison-of-cogaps-nmf-and-ica-cerebellum-patterns"/>
      <w:bookmarkEnd w:id="30"/>
      <w:r>
        <w:t xml:space="preserve">Comparison of CoGAPS NMF and ICA cerebellum patterns</w:t>
      </w:r>
    </w:p>
    <w:p>
      <w:pPr>
        <w:pStyle w:val="SourceCode"/>
      </w:pPr>
      <w:r>
        <w:rPr>
          <w:rStyle w:val="KeywordTok"/>
        </w:rPr>
        <w:t xml:space="preserve">cor.test</w:t>
      </w:r>
      <w:r>
        <w:rPr>
          <w:rStyle w:val="NormalTok"/>
        </w:rPr>
        <w:t xml:space="preserve">(ica[[</w:t>
      </w:r>
      <w:r>
        <w:rPr>
          <w:rStyle w:val="StringTok"/>
        </w:rPr>
        <w:t xml:space="preserve">'p 10'</w:t>
      </w:r>
      <w:r>
        <w:rPr>
          <w:rStyle w:val="NormalTok"/>
        </w:rPr>
        <w:t xml:space="preserve">]]$S[,</w:t>
      </w:r>
      <w:r>
        <w:rPr>
          <w:rStyle w:val="DecValTok"/>
        </w:rPr>
        <w:t xml:space="preserve">8</w:t>
      </w:r>
      <w:r>
        <w:rPr>
          <w:rStyle w:val="NormalTok"/>
        </w:rPr>
        <w:t xml:space="preserve">],AP.fixed$A[</w:t>
      </w:r>
      <w:r>
        <w:rPr>
          <w:rStyle w:val="KeywordTok"/>
        </w:rPr>
        <w:t xml:space="preserve">row.names</w:t>
      </w:r>
      <w:r>
        <w:rPr>
          <w:rStyle w:val="NormalTok"/>
        </w:rPr>
        <w:t xml:space="preserve">(dana),</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ica[["p 10"]]$S[, 8] and AP.fixed$A[row.names(dana), 3]</w:t>
      </w:r>
      <w:r>
        <w:br w:type="textWrapping"/>
      </w:r>
      <w:r>
        <w:rPr>
          <w:rStyle w:val="VerbatimChar"/>
        </w:rPr>
        <w:t xml:space="preserve">## t = -226.13, df = 48035,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-0.7223805 -0.7137172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-0.7180766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1564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the matrix: factorization uncovers knowledge from omics</dc:title>
  <dc:creator>Genevieve L. Stein-O’Brien et al.</dc:creator>
</cp:coreProperties>
</file>