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DB577B">
        <w:rPr>
          <w:color w:val="000000" w:themeColor="text1"/>
          <w:sz w:val="28"/>
          <w:szCs w:val="28"/>
          <w:lang w:val="es-CL"/>
        </w:rPr>
        <w:t>Tecnologías de la Infor</w:t>
      </w:r>
      <w:bookmarkStart w:id="0" w:name="_GoBack"/>
      <w:bookmarkEnd w:id="0"/>
      <w:r w:rsidR="00DB577B">
        <w:rPr>
          <w:color w:val="000000" w:themeColor="text1"/>
          <w:sz w:val="28"/>
          <w:szCs w:val="28"/>
          <w:lang w:val="es-CL"/>
        </w:rPr>
        <w:t>mación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62213D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62213D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38" w:type="pct"/>
        <w:tblLayout w:type="fixed"/>
        <w:tblLook w:val="04A0"/>
      </w:tblPr>
      <w:tblGrid>
        <w:gridCol w:w="2565"/>
        <w:gridCol w:w="3213"/>
        <w:gridCol w:w="3120"/>
        <w:gridCol w:w="2551"/>
        <w:gridCol w:w="1276"/>
        <w:gridCol w:w="1417"/>
      </w:tblGrid>
      <w:tr w:rsidR="00450407" w:rsidRPr="003621E5" w:rsidTr="00450407">
        <w:trPr>
          <w:cnfStyle w:val="100000000000"/>
          <w:trHeight w:val="340"/>
        </w:trPr>
        <w:tc>
          <w:tcPr>
            <w:cnfStyle w:val="001000000000"/>
            <w:tcW w:w="907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1136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1103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902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451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501" w:type="pct"/>
            <w:shd w:val="clear" w:color="auto" w:fill="8DB3E2" w:themeFill="text2" w:themeFillTint="66"/>
          </w:tcPr>
          <w:p w:rsidR="00450407" w:rsidRPr="003621E5" w:rsidRDefault="00450407" w:rsidP="00CA50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450407" w:rsidRPr="003621E5" w:rsidTr="00450407">
        <w:trPr>
          <w:cnfStyle w:val="000000100000"/>
          <w:trHeight w:val="850"/>
        </w:trPr>
        <w:tc>
          <w:tcPr>
            <w:cnfStyle w:val="001000000000"/>
            <w:tcW w:w="907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0"/>
                <w:szCs w:val="20"/>
                <w:lang w:val="es-ES" w:eastAsia="en-US"/>
              </w:rPr>
            </w:pPr>
            <w:r w:rsidRPr="007A68CC">
              <w:rPr>
                <w:rFonts w:asciiTheme="minorHAnsi" w:eastAsia="Calibri" w:hAnsiTheme="minorHAnsi" w:cs="Arial"/>
                <w:color w:val="000000"/>
                <w:sz w:val="20"/>
                <w:szCs w:val="20"/>
                <w:lang w:val="es-ES" w:eastAsia="en-US"/>
              </w:rPr>
              <w:t>Mejorar la velocidad del servicio de internet</w:t>
            </w: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  <w:t xml:space="preserve">Mejorar la velocidad de internet en el Campus 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  <w:t xml:space="preserve">Cotización de diferentes servicios de internet según las necesidades del campus universitario 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  <w:t xml:space="preserve">Cotizaciones realizadas </w:t>
            </w: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  <w:t>Marzo de 2011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0407" w:rsidRPr="003621E5" w:rsidTr="00450407">
        <w:trPr>
          <w:cnfStyle w:val="000000010000"/>
          <w:trHeight w:val="850"/>
        </w:trPr>
        <w:tc>
          <w:tcPr>
            <w:cnfStyle w:val="001000000000"/>
            <w:tcW w:w="907" w:type="pct"/>
            <w:vMerge w:val="restart"/>
          </w:tcPr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>Implementación de Sistema integral de información PowerCampus</w:t>
            </w:r>
          </w:p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 w:cs="Arial"/>
                <w:b w:val="0"/>
                <w:sz w:val="20"/>
                <w:szCs w:val="20"/>
              </w:rPr>
              <w:t>Implementación de sistema de seguimiento académico de los alumnos</w:t>
            </w: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sz w:val="20"/>
                <w:szCs w:val="20"/>
              </w:rPr>
              <w:t xml:space="preserve">Diseñar ruta a seguir para la implementación del nuevo sistema 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sz w:val="20"/>
                <w:szCs w:val="20"/>
              </w:rPr>
              <w:t xml:space="preserve">Ruta diseñada de implementación considerando las diferentes  necesidades de información 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jc w:val="both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sz w:val="20"/>
                <w:szCs w:val="20"/>
              </w:rPr>
              <w:t xml:space="preserve">Ruta diseñada </w:t>
            </w: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Prrafodelista"/>
              <w:tabs>
                <w:tab w:val="left" w:pos="1134"/>
              </w:tabs>
              <w:ind w:left="0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sz w:val="20"/>
                <w:szCs w:val="20"/>
              </w:rPr>
              <w:t>Marzo de 2012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50407" w:rsidRPr="003621E5" w:rsidTr="00450407">
        <w:trPr>
          <w:cnfStyle w:val="000000100000"/>
          <w:trHeight w:val="850"/>
        </w:trPr>
        <w:tc>
          <w:tcPr>
            <w:cnfStyle w:val="001000000000"/>
            <w:tcW w:w="907" w:type="pct"/>
            <w:vMerge/>
          </w:tcPr>
          <w:p w:rsidR="00450407" w:rsidRPr="007A68CC" w:rsidRDefault="00450407" w:rsidP="00CA501E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>Migrar  del sistema actual al sistema Power Campus (PC)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>Migración del 100%  de la información al sistema PC lograda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de información migrada </w:t>
            </w: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>Diciembre de 2012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0407" w:rsidRPr="003621E5" w:rsidTr="00450407">
        <w:trPr>
          <w:cnfStyle w:val="000000010000"/>
          <w:trHeight w:val="850"/>
        </w:trPr>
        <w:tc>
          <w:tcPr>
            <w:cnfStyle w:val="001000000000"/>
            <w:tcW w:w="907" w:type="pct"/>
            <w:vMerge/>
          </w:tcPr>
          <w:p w:rsidR="00450407" w:rsidRPr="007A68CC" w:rsidRDefault="00450407" w:rsidP="00CA501E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Migrar los datos del sistema informático antiguo al software Power Campus 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Migrar el 100% de los datos al nuevo sistema 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de migración de datos </w:t>
            </w: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Octubre de 2011  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0407" w:rsidRPr="003621E5" w:rsidTr="00450407">
        <w:trPr>
          <w:cnfStyle w:val="000000100000"/>
          <w:trHeight w:val="850"/>
        </w:trPr>
        <w:tc>
          <w:tcPr>
            <w:cnfStyle w:val="001000000000"/>
            <w:tcW w:w="907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color w:val="auto"/>
                <w:sz w:val="20"/>
                <w:szCs w:val="20"/>
                <w:lang w:val="es-MX"/>
              </w:rPr>
              <w:t xml:space="preserve">Capacitar en el </w:t>
            </w:r>
            <w:r w:rsidRPr="007A68CC">
              <w:rPr>
                <w:rFonts w:asciiTheme="minorHAnsi" w:hAnsiTheme="minorHAnsi"/>
                <w:color w:val="auto"/>
                <w:sz w:val="20"/>
                <w:szCs w:val="20"/>
              </w:rPr>
              <w:t>uso del software, para el seguimiento académico de los  alumnos con los directivos de unidades académicas, y Registros Académicos y Admisión.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Capacitar en el uso del software  al 100% de los decanos y directores de carreras 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Porcentaje de decanos y directivos capacitados </w:t>
            </w: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cnfStyle w:val="000000100000"/>
              <w:rPr>
                <w:rFonts w:asciiTheme="minorHAnsi" w:hAnsiTheme="minorHAnsi"/>
                <w:b w:val="0"/>
                <w:sz w:val="20"/>
                <w:szCs w:val="20"/>
                <w:lang w:val="es-ES_tradnl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  <w:lang w:val="es-ES_tradnl"/>
              </w:rPr>
              <w:t>Diciembre de 2011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50407" w:rsidRPr="003621E5" w:rsidTr="00450407">
        <w:trPr>
          <w:cnfStyle w:val="000000010000"/>
          <w:trHeight w:val="850"/>
        </w:trPr>
        <w:tc>
          <w:tcPr>
            <w:cnfStyle w:val="001000000000"/>
            <w:tcW w:w="907" w:type="pct"/>
          </w:tcPr>
          <w:p w:rsidR="00450407" w:rsidRPr="007A68CC" w:rsidRDefault="00450407" w:rsidP="00CA501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 w:cs="Arial"/>
                <w:b w:val="0"/>
                <w:sz w:val="20"/>
                <w:szCs w:val="20"/>
              </w:rPr>
              <w:t>Conocimiento y utilización de la p</w:t>
            </w:r>
            <w:r w:rsidRPr="007A68CC">
              <w:rPr>
                <w:rFonts w:asciiTheme="minorHAnsi" w:eastAsia="Times New Roman" w:hAnsiTheme="minorHAnsi" w:cs="Arial"/>
                <w:b w:val="0"/>
                <w:sz w:val="20"/>
                <w:szCs w:val="20"/>
                <w:lang w:eastAsia="es-ES_tradnl"/>
              </w:rPr>
              <w:t>lataforma virtual de apoyo a la docencia</w:t>
            </w:r>
          </w:p>
        </w:tc>
        <w:tc>
          <w:tcPr>
            <w:tcW w:w="1136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Socializar y capacitar a los docentes y alumnos en el uso de la plataforma </w:t>
            </w:r>
          </w:p>
        </w:tc>
        <w:tc>
          <w:tcPr>
            <w:tcW w:w="1103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A lo menos una capacitación por semestre. </w:t>
            </w:r>
          </w:p>
        </w:tc>
        <w:tc>
          <w:tcPr>
            <w:tcW w:w="902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>N° de capacitaciones realizadas.</w:t>
            </w:r>
          </w:p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51" w:type="pct"/>
          </w:tcPr>
          <w:p w:rsidR="00450407" w:rsidRPr="007A68CC" w:rsidRDefault="00450407" w:rsidP="00CA50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68CC">
              <w:rPr>
                <w:rFonts w:asciiTheme="minorHAnsi" w:hAnsiTheme="minorHAnsi"/>
                <w:b w:val="0"/>
                <w:sz w:val="20"/>
                <w:szCs w:val="20"/>
              </w:rPr>
              <w:t xml:space="preserve">Semestralmente </w:t>
            </w:r>
          </w:p>
        </w:tc>
        <w:tc>
          <w:tcPr>
            <w:tcW w:w="501" w:type="pct"/>
          </w:tcPr>
          <w:p w:rsidR="00450407" w:rsidRPr="007A68CC" w:rsidRDefault="00450407" w:rsidP="00CA501E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450407" w:rsidRDefault="00450407" w:rsidP="00AC7B70"/>
    <w:p w:rsidR="00450407" w:rsidRDefault="00450407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62"/>
        <w:gridCol w:w="7371"/>
      </w:tblGrid>
      <w:tr w:rsidR="00450407" w:rsidRPr="00450407" w:rsidTr="00450407">
        <w:tc>
          <w:tcPr>
            <w:tcW w:w="6662" w:type="dxa"/>
            <w:shd w:val="clear" w:color="auto" w:fill="8DB3E2" w:themeFill="text2" w:themeFillTint="66"/>
          </w:tcPr>
          <w:p w:rsidR="00450407" w:rsidRPr="00450407" w:rsidRDefault="00450407" w:rsidP="00450407">
            <w:pPr>
              <w:spacing w:after="0" w:line="240" w:lineRule="auto"/>
              <w:jc w:val="center"/>
              <w:rPr>
                <w:b/>
              </w:rPr>
            </w:pPr>
            <w:r w:rsidRPr="00450407">
              <w:rPr>
                <w:b/>
              </w:rPr>
              <w:t xml:space="preserve">Metas  </w:t>
            </w:r>
          </w:p>
        </w:tc>
        <w:tc>
          <w:tcPr>
            <w:tcW w:w="7371" w:type="dxa"/>
            <w:shd w:val="clear" w:color="auto" w:fill="8DB3E2" w:themeFill="text2" w:themeFillTint="66"/>
          </w:tcPr>
          <w:p w:rsidR="00450407" w:rsidRPr="00450407" w:rsidRDefault="00450407" w:rsidP="00450407">
            <w:pPr>
              <w:spacing w:after="0" w:line="240" w:lineRule="auto"/>
              <w:jc w:val="center"/>
              <w:rPr>
                <w:b/>
              </w:rPr>
            </w:pPr>
            <w:r w:rsidRPr="00450407">
              <w:rPr>
                <w:b/>
              </w:rPr>
              <w:t>Nivel de logro(L,ML,NL)</w:t>
            </w: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spacing w:after="0" w:line="240" w:lineRule="auto"/>
            </w:pPr>
            <w:r w:rsidRPr="00450407">
              <w:t>Responsable: Ingresar la  información histórica al sistema Power Campus a partir del año 2012. (Vinculada a Indicador N°212)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spacing w:after="0" w:line="240" w:lineRule="auto"/>
            </w:pPr>
            <w:r w:rsidRPr="00450407">
              <w:t>Responsable: Utilizar a plena capacidad el sistema power campus a diciembre 2012,  entregando información en tiempo real. (Vinculada a Indicador N°213)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spacing w:after="0" w:line="240" w:lineRule="auto"/>
            </w:pPr>
            <w:r w:rsidRPr="00450407">
              <w:t>Fuente: Implementar red de datos, telefonía y equipamiento de tecnologías en nueva biblioteca (puntos de red, red inalámbrica, telefonía) a marzo de 2012. (Vinculada a Indicador N°214)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pStyle w:val="Prrafodelista"/>
              <w:spacing w:after="0" w:line="240" w:lineRule="auto"/>
              <w:ind w:left="47"/>
            </w:pPr>
            <w:r w:rsidRPr="00450407">
              <w:t>Responsable: Implementar un sistema informático  de administración documental al  segundo semestre de 2013 (meta para postular en  proyectos de gestión de procesos. (Vinculada a Indicador N°215)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pStyle w:val="Prrafodelista"/>
              <w:spacing w:after="0" w:line="240" w:lineRule="auto"/>
              <w:ind w:left="47"/>
            </w:pPr>
            <w:r w:rsidRPr="00450407">
              <w:t>Responsable: Habilitar un portal para alumnos y docentes,  que permita acceder a información académica y financiera a partir del 2° semestre 2012. (Vinculada a Indicador N°216)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  <w:tr w:rsidR="00450407" w:rsidRPr="00450407" w:rsidTr="00450407">
        <w:tc>
          <w:tcPr>
            <w:tcW w:w="6662" w:type="dxa"/>
          </w:tcPr>
          <w:p w:rsidR="00450407" w:rsidRPr="00450407" w:rsidRDefault="00450407" w:rsidP="00450407">
            <w:pPr>
              <w:pStyle w:val="Prrafodelista"/>
              <w:spacing w:after="0" w:line="240" w:lineRule="auto"/>
              <w:ind w:left="47"/>
            </w:pPr>
            <w:r w:rsidRPr="00450407">
              <w:t>Responsable: Mantener la satisfacción de los usuarios con las herramientas de comunicación internas. (Vinculada a Indicador N°217)</w:t>
            </w:r>
          </w:p>
        </w:tc>
        <w:tc>
          <w:tcPr>
            <w:tcW w:w="7371" w:type="dxa"/>
          </w:tcPr>
          <w:p w:rsidR="00450407" w:rsidRPr="00450407" w:rsidRDefault="00450407" w:rsidP="00450407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F566DC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62213D" w:rsidP="005E7198">
      <w:pPr>
        <w:rPr>
          <w:rFonts w:asciiTheme="minorHAnsi" w:hAnsiTheme="minorHAnsi"/>
          <w:b/>
          <w:lang w:val="es-CL"/>
        </w:rPr>
      </w:pPr>
      <w:r w:rsidRPr="0062213D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F566DC" w:rsidRDefault="00F566DC"/>
    <w:p w:rsidR="00F566DC" w:rsidRDefault="00F566DC"/>
    <w:p w:rsidR="00F566DC" w:rsidRDefault="00F566DC"/>
    <w:p w:rsidR="00F566DC" w:rsidRDefault="00F566DC"/>
    <w:p w:rsidR="00F566DC" w:rsidRDefault="00F566DC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62213D" w:rsidP="005E7198">
      <w:pPr>
        <w:rPr>
          <w:rFonts w:asciiTheme="minorHAnsi" w:hAnsiTheme="minorHAnsi"/>
          <w:b/>
        </w:rPr>
      </w:pPr>
      <w:r w:rsidRPr="0062213D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 xml:space="preserve"> DE LA DIRECCIÓN DE</w:t>
      </w:r>
      <w:r w:rsidR="00450407">
        <w:rPr>
          <w:rFonts w:asciiTheme="minorHAnsi" w:hAnsiTheme="minorHAnsi"/>
          <w:b/>
        </w:rPr>
        <w:t xml:space="preserve"> TECNOLOGÍAS DE LA INFORMACIÓN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566DC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566DC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566DC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566DC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F566DC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AA" w:rsidRDefault="008C76AA" w:rsidP="00F321DC">
      <w:pPr>
        <w:spacing w:after="0" w:line="240" w:lineRule="auto"/>
      </w:pPr>
      <w:r>
        <w:separator/>
      </w:r>
    </w:p>
  </w:endnote>
  <w:endnote w:type="continuationSeparator" w:id="1">
    <w:p w:rsidR="008C76AA" w:rsidRDefault="008C76AA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675EA" w:rsidRDefault="0062213D">
        <w:pPr>
          <w:pStyle w:val="Piedepgina"/>
          <w:jc w:val="right"/>
        </w:pPr>
        <w:r>
          <w:fldChar w:fldCharType="begin"/>
        </w:r>
        <w:r w:rsidR="006675EA">
          <w:instrText xml:space="preserve"> PAGE   \* MERGEFORMAT </w:instrText>
        </w:r>
        <w:r>
          <w:fldChar w:fldCharType="separate"/>
        </w:r>
        <w:r w:rsidR="00F566D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675EA" w:rsidRDefault="006675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AA" w:rsidRDefault="008C76AA" w:rsidP="00F321DC">
      <w:pPr>
        <w:spacing w:after="0" w:line="240" w:lineRule="auto"/>
      </w:pPr>
      <w:r>
        <w:separator/>
      </w:r>
    </w:p>
  </w:footnote>
  <w:footnote w:type="continuationSeparator" w:id="1">
    <w:p w:rsidR="008C76AA" w:rsidRDefault="008C76AA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>
    <w:pPr>
      <w:pStyle w:val="Encabezado"/>
    </w:pPr>
  </w:p>
  <w:p w:rsidR="006675EA" w:rsidRDefault="006675E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75EA" w:rsidRDefault="006675EA" w:rsidP="00F566DC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675EA" w:rsidRPr="00AC3CE7" w:rsidRDefault="006675EA" w:rsidP="00F566DC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50407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2213D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2FE5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C76AA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52BE3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3084B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B577B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566DC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19F5AEA7-640B-498A-8A61-C38908BB6FF4}" type="presOf" srcId="{F9C1ABE1-9CC1-4B98-9F18-448C386F07BB}" destId="{9AEAC8AE-0E2F-4013-B60E-3514410A1D49}" srcOrd="1" destOrd="0" presId="urn:microsoft.com/office/officeart/2005/8/layout/vList4#15"/>
    <dgm:cxn modelId="{A3D241EC-CF7E-4562-BBE4-7AA33B25EF33}" type="presOf" srcId="{7D736F56-5E7C-4165-A439-DB85FF57B667}" destId="{0F1D83A8-E96B-4ED1-86DB-8974815ECD30}" srcOrd="1" destOrd="0" presId="urn:microsoft.com/office/officeart/2005/8/layout/vList4#15"/>
    <dgm:cxn modelId="{9B4B67F4-5420-4F14-BBBB-987B87232CD0}" type="presOf" srcId="{9AB012B8-2013-450E-9838-0C28222136BD}" destId="{91D06AA7-979D-43BF-B212-107FACA35ABA}" srcOrd="0" destOrd="1" presId="urn:microsoft.com/office/officeart/2005/8/layout/vList4#15"/>
    <dgm:cxn modelId="{970F7658-53EC-47E7-8D90-5F00BF86CF2A}" type="presOf" srcId="{9AB012B8-2013-450E-9838-0C28222136BD}" destId="{E6F352DB-CD87-4918-9AD7-E42C47D5DCDD}" srcOrd="1" destOrd="1" presId="urn:microsoft.com/office/officeart/2005/8/layout/vList4#15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CE4B44AA-16FD-4627-9368-FB4F31523149}" type="presOf" srcId="{6AA3FB31-4991-444D-A81C-0248C1DD88DC}" destId="{99B4252B-8A91-4748-9825-EE88056880A2}" srcOrd="0" destOrd="0" presId="urn:microsoft.com/office/officeart/2005/8/layout/vList4#15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15AAEB10-D26B-408D-BCB6-302B10D8FA0B}" type="presOf" srcId="{C1EAD699-C332-4768-9340-40BA75436597}" destId="{91D06AA7-979D-43BF-B212-107FACA35ABA}" srcOrd="0" destOrd="0" presId="urn:microsoft.com/office/officeart/2005/8/layout/vList4#15"/>
    <dgm:cxn modelId="{D78537E4-0612-4756-9A58-B6A6D7EB16FB}" type="presOf" srcId="{7D736F56-5E7C-4165-A439-DB85FF57B667}" destId="{881537AB-96C8-465C-B9F2-F14F4D5B2C60}" srcOrd="0" destOrd="0" presId="urn:microsoft.com/office/officeart/2005/8/layout/vList4#15"/>
    <dgm:cxn modelId="{552DA903-CB1C-428D-A249-53CBD4B6A9DC}" type="presOf" srcId="{F9C1ABE1-9CC1-4B98-9F18-448C386F07BB}" destId="{D7C1CED6-C28A-44AA-A56E-8BF9F93A5C63}" srcOrd="0" destOrd="0" presId="urn:microsoft.com/office/officeart/2005/8/layout/vList4#15"/>
    <dgm:cxn modelId="{DB84BE65-1D01-4DE9-AF3C-850600AC272D}" type="presOf" srcId="{C1EAD699-C332-4768-9340-40BA75436597}" destId="{E6F352DB-CD87-4918-9AD7-E42C47D5DCDD}" srcOrd="1" destOrd="0" presId="urn:microsoft.com/office/officeart/2005/8/layout/vList4#15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9EACD96E-F5EB-4FE8-B867-7C444E9EA8A5}" type="presParOf" srcId="{99B4252B-8A91-4748-9825-EE88056880A2}" destId="{18D71F07-69E2-4CBD-9C2B-B76CB06075E4}" srcOrd="0" destOrd="0" presId="urn:microsoft.com/office/officeart/2005/8/layout/vList4#15"/>
    <dgm:cxn modelId="{9E848A60-1329-44E4-8838-0452C6720515}" type="presParOf" srcId="{18D71F07-69E2-4CBD-9C2B-B76CB06075E4}" destId="{91D06AA7-979D-43BF-B212-107FACA35ABA}" srcOrd="0" destOrd="0" presId="urn:microsoft.com/office/officeart/2005/8/layout/vList4#15"/>
    <dgm:cxn modelId="{E5F2320A-C665-4018-AED7-0C671BB6F673}" type="presParOf" srcId="{18D71F07-69E2-4CBD-9C2B-B76CB06075E4}" destId="{35BD51C7-13ED-46EC-99EB-69C6A5C7F517}" srcOrd="1" destOrd="0" presId="urn:microsoft.com/office/officeart/2005/8/layout/vList4#15"/>
    <dgm:cxn modelId="{E9DDDFA3-CB5C-4F3B-86A0-3CB9DFA55DF6}" type="presParOf" srcId="{18D71F07-69E2-4CBD-9C2B-B76CB06075E4}" destId="{E6F352DB-CD87-4918-9AD7-E42C47D5DCDD}" srcOrd="2" destOrd="0" presId="urn:microsoft.com/office/officeart/2005/8/layout/vList4#15"/>
    <dgm:cxn modelId="{8CCA2006-6ED6-41ED-B9CA-21DE007D3DA5}" type="presParOf" srcId="{99B4252B-8A91-4748-9825-EE88056880A2}" destId="{25D340C1-1622-45D0-80D0-BE9A0913DD9F}" srcOrd="1" destOrd="0" presId="urn:microsoft.com/office/officeart/2005/8/layout/vList4#15"/>
    <dgm:cxn modelId="{8BDD4391-BD90-40EC-884B-C7EF7699B6B2}" type="presParOf" srcId="{99B4252B-8A91-4748-9825-EE88056880A2}" destId="{BA1BFBF2-4F25-435A-8168-D27DD89DBDA9}" srcOrd="2" destOrd="0" presId="urn:microsoft.com/office/officeart/2005/8/layout/vList4#15"/>
    <dgm:cxn modelId="{455E16B7-EB19-4B4D-BEC9-8AC6B1498BFF}" type="presParOf" srcId="{BA1BFBF2-4F25-435A-8168-D27DD89DBDA9}" destId="{881537AB-96C8-465C-B9F2-F14F4D5B2C60}" srcOrd="0" destOrd="0" presId="urn:microsoft.com/office/officeart/2005/8/layout/vList4#15"/>
    <dgm:cxn modelId="{DF7776B6-5B88-4239-978B-2160484620B5}" type="presParOf" srcId="{BA1BFBF2-4F25-435A-8168-D27DD89DBDA9}" destId="{4FA255E2-8701-4F4E-995A-B6AF0629C9A7}" srcOrd="1" destOrd="0" presId="urn:microsoft.com/office/officeart/2005/8/layout/vList4#15"/>
    <dgm:cxn modelId="{5C4A1749-DEFD-4D5A-A697-5B154DD3ED02}" type="presParOf" srcId="{BA1BFBF2-4F25-435A-8168-D27DD89DBDA9}" destId="{0F1D83A8-E96B-4ED1-86DB-8974815ECD30}" srcOrd="2" destOrd="0" presId="urn:microsoft.com/office/officeart/2005/8/layout/vList4#15"/>
    <dgm:cxn modelId="{8892A346-F407-4FA2-BC73-328139016149}" type="presParOf" srcId="{99B4252B-8A91-4748-9825-EE88056880A2}" destId="{D747FC36-A6F5-4493-8FCA-3E90F496E8C8}" srcOrd="3" destOrd="0" presId="urn:microsoft.com/office/officeart/2005/8/layout/vList4#15"/>
    <dgm:cxn modelId="{CA74B1FC-4DB0-4EE3-A0F5-B88F71F67857}" type="presParOf" srcId="{99B4252B-8A91-4748-9825-EE88056880A2}" destId="{93142622-88A7-4214-9224-299B0A579FEF}" srcOrd="4" destOrd="0" presId="urn:microsoft.com/office/officeart/2005/8/layout/vList4#15"/>
    <dgm:cxn modelId="{82108772-6BAB-4F91-AA31-1DF525442534}" type="presParOf" srcId="{93142622-88A7-4214-9224-299B0A579FEF}" destId="{D7C1CED6-C28A-44AA-A56E-8BF9F93A5C63}" srcOrd="0" destOrd="0" presId="urn:microsoft.com/office/officeart/2005/8/layout/vList4#15"/>
    <dgm:cxn modelId="{F35F475F-C19E-4BDE-A60C-56DE41ED3FAF}" type="presParOf" srcId="{93142622-88A7-4214-9224-299B0A579FEF}" destId="{2696C48F-B82C-47DA-BF9F-BEF13567D525}" srcOrd="1" destOrd="0" presId="urn:microsoft.com/office/officeart/2005/8/layout/vList4#15"/>
    <dgm:cxn modelId="{8242EB05-3FAA-4C13-B3C8-C8DA814BBD4D}" type="presParOf" srcId="{93142622-88A7-4214-9224-299B0A579FEF}" destId="{9AEAC8AE-0E2F-4013-B60E-3514410A1D49}" srcOrd="2" destOrd="0" presId="urn:microsoft.com/office/officeart/2005/8/layout/vList4#15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5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18</Pages>
  <Words>2297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93</cp:revision>
  <cp:lastPrinted>2012-03-06T18:10:00Z</cp:lastPrinted>
  <dcterms:created xsi:type="dcterms:W3CDTF">2012-01-25T14:17:00Z</dcterms:created>
  <dcterms:modified xsi:type="dcterms:W3CDTF">2012-12-17T13:23:00Z</dcterms:modified>
</cp:coreProperties>
</file>