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AC3CE7" w:rsidRPr="005F7F41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Dirección de Registros Académicos y Admisión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D73545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4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900069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900069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675EA" w:rsidRPr="00D73545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4B0B61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4B0B61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ayout w:type="fixed"/>
        <w:tblLook w:val="04A0"/>
      </w:tblPr>
      <w:tblGrid>
        <w:gridCol w:w="3227"/>
        <w:gridCol w:w="3117"/>
        <w:gridCol w:w="2697"/>
        <w:gridCol w:w="2411"/>
        <w:gridCol w:w="1274"/>
        <w:gridCol w:w="1557"/>
      </w:tblGrid>
      <w:tr w:rsidR="005A5DCB" w:rsidRPr="000463C6" w:rsidTr="005A5DCB">
        <w:trPr>
          <w:cnfStyle w:val="100000000000"/>
          <w:trHeight w:val="340"/>
        </w:trPr>
        <w:tc>
          <w:tcPr>
            <w:cnfStyle w:val="001000000000"/>
            <w:tcW w:w="1130" w:type="pct"/>
            <w:shd w:val="clear" w:color="auto" w:fill="8DB3E2" w:themeFill="text2" w:themeFillTint="66"/>
          </w:tcPr>
          <w:p w:rsidR="009025F7" w:rsidRPr="000463C6" w:rsidRDefault="009025F7" w:rsidP="00697998">
            <w:pPr>
              <w:spacing w:after="0"/>
              <w:rPr>
                <w:rFonts w:asciiTheme="minorHAnsi" w:hAnsiTheme="minorHAnsi" w:cs="Calibri"/>
              </w:rPr>
            </w:pPr>
            <w:r w:rsidRPr="000463C6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1091" w:type="pct"/>
            <w:shd w:val="clear" w:color="auto" w:fill="8DB3E2" w:themeFill="text2" w:themeFillTint="66"/>
          </w:tcPr>
          <w:p w:rsidR="009025F7" w:rsidRPr="000463C6" w:rsidRDefault="009025F7" w:rsidP="00697998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0463C6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944" w:type="pct"/>
            <w:shd w:val="clear" w:color="auto" w:fill="8DB3E2" w:themeFill="text2" w:themeFillTint="66"/>
          </w:tcPr>
          <w:p w:rsidR="009025F7" w:rsidRPr="000463C6" w:rsidRDefault="009025F7" w:rsidP="00697998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0463C6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844" w:type="pct"/>
            <w:shd w:val="clear" w:color="auto" w:fill="8DB3E2" w:themeFill="text2" w:themeFillTint="66"/>
          </w:tcPr>
          <w:p w:rsidR="009025F7" w:rsidRPr="000463C6" w:rsidRDefault="009025F7" w:rsidP="00697998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0463C6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446" w:type="pct"/>
            <w:shd w:val="clear" w:color="auto" w:fill="8DB3E2" w:themeFill="text2" w:themeFillTint="66"/>
          </w:tcPr>
          <w:p w:rsidR="009025F7" w:rsidRPr="000463C6" w:rsidRDefault="009025F7" w:rsidP="00697998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0463C6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545" w:type="pct"/>
            <w:shd w:val="clear" w:color="auto" w:fill="8DB3E2" w:themeFill="text2" w:themeFillTint="66"/>
          </w:tcPr>
          <w:p w:rsidR="009025F7" w:rsidRPr="000463C6" w:rsidRDefault="009025F7" w:rsidP="00697998">
            <w:pPr>
              <w:spacing w:after="0"/>
              <w:cnfStyle w:val="100000000000"/>
              <w:rPr>
                <w:rFonts w:asciiTheme="minorHAnsi" w:hAnsiTheme="minorHAnsi" w:cs="Calibri"/>
              </w:rPr>
            </w:pPr>
            <w:r w:rsidRPr="000463C6">
              <w:rPr>
                <w:rFonts w:asciiTheme="minorHAnsi" w:hAnsiTheme="minorHAnsi" w:cs="Calibri"/>
              </w:rPr>
              <w:t>Nivel de Logro</w:t>
            </w:r>
          </w:p>
        </w:tc>
      </w:tr>
      <w:tr w:rsidR="005A5DCB" w:rsidRPr="000463C6" w:rsidTr="00697998">
        <w:trPr>
          <w:cnfStyle w:val="000000100000"/>
          <w:trHeight w:val="1587"/>
        </w:trPr>
        <w:tc>
          <w:tcPr>
            <w:cnfStyle w:val="001000000000"/>
            <w:tcW w:w="1130" w:type="pct"/>
          </w:tcPr>
          <w:p w:rsidR="009025F7" w:rsidRPr="000463C6" w:rsidRDefault="009025F7" w:rsidP="00697998">
            <w:pPr>
              <w:pStyle w:val="Prrafodelista"/>
              <w:spacing w:after="0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r w:rsidRPr="000463C6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1091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463C6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944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463C6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844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463C6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446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463C6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545" w:type="pct"/>
          </w:tcPr>
          <w:p w:rsidR="009025F7" w:rsidRPr="000463C6" w:rsidRDefault="009025F7" w:rsidP="00697998">
            <w:pPr>
              <w:spacing w:after="0"/>
              <w:cnfStyle w:val="000000100000"/>
              <w:rPr>
                <w:rFonts w:asciiTheme="minorHAnsi" w:hAnsiTheme="minorHAnsi"/>
              </w:rPr>
            </w:pPr>
          </w:p>
        </w:tc>
      </w:tr>
      <w:tr w:rsidR="005A5DCB" w:rsidRPr="000463C6" w:rsidTr="005A5DCB">
        <w:trPr>
          <w:cnfStyle w:val="000000010000"/>
          <w:trHeight w:val="850"/>
        </w:trPr>
        <w:tc>
          <w:tcPr>
            <w:cnfStyle w:val="001000000000"/>
            <w:tcW w:w="1130" w:type="pct"/>
            <w:vMerge w:val="restart"/>
          </w:tcPr>
          <w:p w:rsidR="009025F7" w:rsidRPr="00697998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697998">
              <w:rPr>
                <w:rFonts w:asciiTheme="minorHAnsi" w:hAnsiTheme="minorHAnsi" w:cs="Arial"/>
                <w:b w:val="0"/>
                <w:sz w:val="22"/>
                <w:szCs w:val="22"/>
              </w:rPr>
              <w:t>Implementación de sistema de seguimiento académico de los alumnos</w:t>
            </w:r>
          </w:p>
        </w:tc>
        <w:tc>
          <w:tcPr>
            <w:tcW w:w="1091" w:type="pct"/>
          </w:tcPr>
          <w:p w:rsidR="009025F7" w:rsidRPr="000463C6" w:rsidRDefault="009025F7" w:rsidP="00697998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0463C6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 xml:space="preserve">Capacitar en el </w:t>
            </w:r>
            <w:r w:rsidRPr="000463C6">
              <w:rPr>
                <w:rFonts w:asciiTheme="minorHAnsi" w:hAnsiTheme="minorHAnsi"/>
                <w:color w:val="auto"/>
                <w:sz w:val="22"/>
                <w:szCs w:val="22"/>
              </w:rPr>
              <w:t>uso del software, para el seguimiento académico de los  alumnos con los directivos de unidades académicas, y Registros Académicos y Admisión.</w:t>
            </w:r>
          </w:p>
        </w:tc>
        <w:tc>
          <w:tcPr>
            <w:tcW w:w="944" w:type="pct"/>
          </w:tcPr>
          <w:p w:rsidR="009025F7" w:rsidRPr="000463C6" w:rsidRDefault="009025F7" w:rsidP="00697998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0463C6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Capacitar en el uso del software  al 100% de los decanos y directores de carreras </w:t>
            </w:r>
          </w:p>
        </w:tc>
        <w:tc>
          <w:tcPr>
            <w:tcW w:w="844" w:type="pct"/>
          </w:tcPr>
          <w:p w:rsidR="009025F7" w:rsidRPr="000463C6" w:rsidRDefault="009025F7" w:rsidP="00697998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0463C6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Porcentaje de decanos y directivos capacitados </w:t>
            </w:r>
          </w:p>
        </w:tc>
        <w:tc>
          <w:tcPr>
            <w:tcW w:w="446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</w:pPr>
            <w:r w:rsidRPr="000463C6"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  <w:t>Diciembre de 2011</w:t>
            </w:r>
          </w:p>
        </w:tc>
        <w:tc>
          <w:tcPr>
            <w:tcW w:w="545" w:type="pct"/>
          </w:tcPr>
          <w:p w:rsidR="009025F7" w:rsidRPr="000463C6" w:rsidRDefault="009025F7" w:rsidP="00697998">
            <w:pPr>
              <w:spacing w:after="0"/>
              <w:cnfStyle w:val="000000010000"/>
              <w:rPr>
                <w:rFonts w:asciiTheme="minorHAnsi" w:hAnsiTheme="minorHAnsi"/>
              </w:rPr>
            </w:pPr>
          </w:p>
        </w:tc>
      </w:tr>
      <w:tr w:rsidR="005A5DCB" w:rsidRPr="000463C6" w:rsidTr="005A5DCB">
        <w:trPr>
          <w:cnfStyle w:val="000000100000"/>
          <w:trHeight w:val="850"/>
        </w:trPr>
        <w:tc>
          <w:tcPr>
            <w:cnfStyle w:val="001000000000"/>
            <w:tcW w:w="1130" w:type="pct"/>
            <w:vMerge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091" w:type="pct"/>
          </w:tcPr>
          <w:p w:rsidR="009025F7" w:rsidRPr="000463C6" w:rsidRDefault="009025F7" w:rsidP="00697998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</w:pPr>
            <w:r w:rsidRPr="000463C6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 xml:space="preserve">Socializar con los alumnos los beneficios del nuevo sistema Académico </w:t>
            </w:r>
          </w:p>
        </w:tc>
        <w:tc>
          <w:tcPr>
            <w:tcW w:w="944" w:type="pct"/>
          </w:tcPr>
          <w:p w:rsidR="009025F7" w:rsidRPr="000463C6" w:rsidRDefault="009025F7" w:rsidP="00697998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</w:pPr>
            <w:r w:rsidRPr="000463C6">
              <w:rPr>
                <w:rFonts w:asciiTheme="minorHAnsi" w:hAnsiTheme="minorHAnsi"/>
                <w:color w:val="auto"/>
                <w:sz w:val="22"/>
                <w:szCs w:val="22"/>
                <w:lang w:val="es-MX"/>
              </w:rPr>
              <w:t>Socializar con el 100% del alumnado los beneficios del nuevo sistema Académico</w:t>
            </w:r>
          </w:p>
        </w:tc>
        <w:tc>
          <w:tcPr>
            <w:tcW w:w="844" w:type="pct"/>
          </w:tcPr>
          <w:p w:rsidR="009025F7" w:rsidRPr="000463C6" w:rsidRDefault="009025F7" w:rsidP="00697998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0463C6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% de alumnos que participan en socialización del sistema </w:t>
            </w:r>
          </w:p>
        </w:tc>
        <w:tc>
          <w:tcPr>
            <w:tcW w:w="446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</w:pPr>
            <w:r w:rsidRPr="000463C6">
              <w:rPr>
                <w:rFonts w:asciiTheme="minorHAnsi" w:hAnsiTheme="minorHAnsi"/>
                <w:b w:val="0"/>
                <w:sz w:val="22"/>
                <w:szCs w:val="22"/>
                <w:lang w:val="es-ES_tradnl"/>
              </w:rPr>
              <w:t>Marzo de 2012</w:t>
            </w:r>
          </w:p>
        </w:tc>
        <w:tc>
          <w:tcPr>
            <w:tcW w:w="545" w:type="pct"/>
          </w:tcPr>
          <w:p w:rsidR="009025F7" w:rsidRPr="000463C6" w:rsidRDefault="009025F7" w:rsidP="00697998">
            <w:pPr>
              <w:spacing w:after="0"/>
              <w:cnfStyle w:val="000000100000"/>
              <w:rPr>
                <w:rFonts w:asciiTheme="minorHAnsi" w:hAnsiTheme="minorHAnsi"/>
              </w:rPr>
            </w:pPr>
          </w:p>
        </w:tc>
      </w:tr>
      <w:tr w:rsidR="005A5DCB" w:rsidRPr="000463C6" w:rsidTr="005A5DCB">
        <w:trPr>
          <w:cnfStyle w:val="000000010000"/>
          <w:trHeight w:val="850"/>
        </w:trPr>
        <w:tc>
          <w:tcPr>
            <w:cnfStyle w:val="001000000000"/>
            <w:tcW w:w="1130" w:type="pct"/>
            <w:vMerge w:val="restart"/>
          </w:tcPr>
          <w:p w:rsidR="009025F7" w:rsidRPr="000463C6" w:rsidRDefault="009025F7" w:rsidP="00697998">
            <w:pPr>
              <w:spacing w:after="0"/>
              <w:rPr>
                <w:rFonts w:asciiTheme="minorHAnsi" w:eastAsia="Calibri" w:hAnsiTheme="minorHAnsi" w:cs="Times New Roman"/>
                <w:b w:val="0"/>
                <w:bCs w:val="0"/>
              </w:rPr>
            </w:pPr>
            <w:r w:rsidRPr="000463C6">
              <w:rPr>
                <w:rFonts w:asciiTheme="minorHAnsi" w:hAnsiTheme="minorHAnsi" w:cs="Arial"/>
                <w:b w:val="0"/>
              </w:rPr>
              <w:t>Proceso de admisión y matrícula</w:t>
            </w:r>
          </w:p>
        </w:tc>
        <w:tc>
          <w:tcPr>
            <w:tcW w:w="1091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463C6">
              <w:rPr>
                <w:rFonts w:asciiTheme="minorHAnsi" w:hAnsiTheme="minorHAnsi"/>
                <w:b w:val="0"/>
                <w:sz w:val="22"/>
                <w:szCs w:val="22"/>
              </w:rPr>
              <w:t>Crear comisión   para evaluar el proceso de admisión y matrícula</w:t>
            </w:r>
          </w:p>
        </w:tc>
        <w:tc>
          <w:tcPr>
            <w:tcW w:w="944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463C6">
              <w:rPr>
                <w:rFonts w:asciiTheme="minorHAnsi" w:hAnsiTheme="minorHAnsi"/>
                <w:b w:val="0"/>
                <w:sz w:val="22"/>
                <w:szCs w:val="22"/>
              </w:rPr>
              <w:t xml:space="preserve">La comisión conformada con los actores del proceso de admisión y matrícula, incluyendo cinco actores y dos beneficiarios del proceso </w:t>
            </w:r>
          </w:p>
        </w:tc>
        <w:tc>
          <w:tcPr>
            <w:tcW w:w="844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463C6">
              <w:rPr>
                <w:rFonts w:asciiTheme="minorHAnsi" w:hAnsiTheme="minorHAnsi"/>
                <w:b w:val="0"/>
                <w:sz w:val="22"/>
                <w:szCs w:val="22"/>
              </w:rPr>
              <w:t xml:space="preserve">Informe de la Comisión creada </w:t>
            </w:r>
          </w:p>
        </w:tc>
        <w:tc>
          <w:tcPr>
            <w:tcW w:w="446" w:type="pct"/>
          </w:tcPr>
          <w:p w:rsidR="009025F7" w:rsidRPr="000463C6" w:rsidRDefault="009025F7" w:rsidP="00697998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0463C6">
              <w:rPr>
                <w:rFonts w:asciiTheme="minorHAnsi" w:hAnsiTheme="minorHAnsi"/>
                <w:b w:val="0"/>
                <w:sz w:val="22"/>
                <w:szCs w:val="22"/>
              </w:rPr>
              <w:t xml:space="preserve">Mayo de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cada año</w:t>
            </w:r>
          </w:p>
        </w:tc>
        <w:tc>
          <w:tcPr>
            <w:tcW w:w="545" w:type="pct"/>
          </w:tcPr>
          <w:p w:rsidR="009025F7" w:rsidRPr="000463C6" w:rsidRDefault="009025F7" w:rsidP="00697998">
            <w:pPr>
              <w:spacing w:after="0"/>
              <w:cnfStyle w:val="000000010000"/>
              <w:rPr>
                <w:rFonts w:asciiTheme="minorHAnsi" w:hAnsiTheme="minorHAnsi"/>
              </w:rPr>
            </w:pPr>
          </w:p>
        </w:tc>
      </w:tr>
      <w:tr w:rsidR="005A5DCB" w:rsidRPr="000463C6" w:rsidTr="005A5DCB">
        <w:trPr>
          <w:cnfStyle w:val="000000100000"/>
          <w:trHeight w:val="850"/>
        </w:trPr>
        <w:tc>
          <w:tcPr>
            <w:cnfStyle w:val="001000000000"/>
            <w:tcW w:w="1130" w:type="pct"/>
            <w:vMerge/>
          </w:tcPr>
          <w:p w:rsidR="009025F7" w:rsidRPr="000463C6" w:rsidRDefault="009025F7" w:rsidP="00697998">
            <w:pPr>
              <w:spacing w:after="0"/>
              <w:jc w:val="both"/>
              <w:rPr>
                <w:rFonts w:asciiTheme="minorHAnsi" w:hAnsiTheme="minorHAnsi"/>
                <w:b w:val="0"/>
              </w:rPr>
            </w:pPr>
          </w:p>
        </w:tc>
        <w:tc>
          <w:tcPr>
            <w:tcW w:w="1091" w:type="pct"/>
          </w:tcPr>
          <w:p w:rsidR="009025F7" w:rsidRPr="000463C6" w:rsidRDefault="009025F7" w:rsidP="00697998">
            <w:pPr>
              <w:spacing w:after="0"/>
              <w:cnfStyle w:val="000000100000"/>
              <w:rPr>
                <w:rFonts w:asciiTheme="minorHAnsi" w:hAnsiTheme="minorHAnsi"/>
              </w:rPr>
            </w:pPr>
            <w:r w:rsidRPr="000463C6">
              <w:rPr>
                <w:rFonts w:asciiTheme="minorHAnsi" w:hAnsiTheme="minorHAnsi"/>
              </w:rPr>
              <w:t xml:space="preserve">Implementar los ajustes pertinentes al </w:t>
            </w:r>
            <w:r>
              <w:rPr>
                <w:rFonts w:asciiTheme="minorHAnsi" w:hAnsiTheme="minorHAnsi"/>
              </w:rPr>
              <w:t>I</w:t>
            </w:r>
            <w:r w:rsidRPr="000463C6">
              <w:rPr>
                <w:rFonts w:asciiTheme="minorHAnsi" w:hAnsiTheme="minorHAnsi"/>
              </w:rPr>
              <w:t xml:space="preserve">PA según informe de la comisión </w:t>
            </w:r>
          </w:p>
        </w:tc>
        <w:tc>
          <w:tcPr>
            <w:tcW w:w="944" w:type="pct"/>
          </w:tcPr>
          <w:p w:rsidR="009025F7" w:rsidRPr="000463C6" w:rsidRDefault="009025F7" w:rsidP="00697998">
            <w:pPr>
              <w:spacing w:after="0"/>
              <w:cnfStyle w:val="000000100000"/>
              <w:rPr>
                <w:rFonts w:asciiTheme="minorHAnsi" w:hAnsiTheme="minorHAnsi"/>
              </w:rPr>
            </w:pPr>
            <w:r w:rsidRPr="000463C6">
              <w:rPr>
                <w:rFonts w:asciiTheme="minorHAnsi" w:hAnsiTheme="minorHAnsi"/>
              </w:rPr>
              <w:t>80% de los ajustes   según el informe de la comisión implementados</w:t>
            </w:r>
          </w:p>
        </w:tc>
        <w:tc>
          <w:tcPr>
            <w:tcW w:w="844" w:type="pct"/>
          </w:tcPr>
          <w:p w:rsidR="009025F7" w:rsidRPr="000463C6" w:rsidRDefault="009025F7" w:rsidP="00697998">
            <w:pPr>
              <w:spacing w:after="0"/>
              <w:cnfStyle w:val="000000100000"/>
              <w:rPr>
                <w:rFonts w:asciiTheme="minorHAnsi" w:hAnsiTheme="minorHAnsi"/>
              </w:rPr>
            </w:pPr>
            <w:r w:rsidRPr="000463C6">
              <w:rPr>
                <w:rFonts w:asciiTheme="minorHAnsi" w:hAnsiTheme="minorHAnsi"/>
              </w:rPr>
              <w:t>Aumento de la satisfacción a un 60% de los estudiantes</w:t>
            </w:r>
          </w:p>
        </w:tc>
        <w:tc>
          <w:tcPr>
            <w:tcW w:w="446" w:type="pct"/>
          </w:tcPr>
          <w:p w:rsidR="009025F7" w:rsidRPr="000463C6" w:rsidRDefault="009025F7" w:rsidP="00697998">
            <w:pPr>
              <w:spacing w:after="0"/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Mayo de cada año</w:t>
            </w:r>
          </w:p>
        </w:tc>
        <w:tc>
          <w:tcPr>
            <w:tcW w:w="545" w:type="pct"/>
          </w:tcPr>
          <w:p w:rsidR="009025F7" w:rsidRPr="000463C6" w:rsidRDefault="009025F7" w:rsidP="00697998">
            <w:pPr>
              <w:spacing w:after="0"/>
              <w:cnfStyle w:val="000000100000"/>
              <w:rPr>
                <w:rFonts w:asciiTheme="minorHAnsi" w:hAnsiTheme="minorHAnsi"/>
              </w:rPr>
            </w:pPr>
          </w:p>
        </w:tc>
      </w:tr>
    </w:tbl>
    <w:p w:rsidR="00697998" w:rsidRDefault="00697998" w:rsidP="008E61E1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8"/>
        <w:gridCol w:w="6804"/>
      </w:tblGrid>
      <w:tr w:rsidR="008E61E1" w:rsidRPr="00934BF5" w:rsidTr="008E61E1">
        <w:tc>
          <w:tcPr>
            <w:tcW w:w="7338" w:type="dxa"/>
            <w:shd w:val="clear" w:color="auto" w:fill="8DB3E2" w:themeFill="text2" w:themeFillTint="66"/>
          </w:tcPr>
          <w:p w:rsidR="008E61E1" w:rsidRPr="00723F47" w:rsidRDefault="008E61E1" w:rsidP="00723F47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723F47">
              <w:rPr>
                <w:b/>
                <w:color w:val="000000" w:themeColor="text1"/>
              </w:rPr>
              <w:t xml:space="preserve">Metas  </w:t>
            </w:r>
          </w:p>
        </w:tc>
        <w:tc>
          <w:tcPr>
            <w:tcW w:w="6804" w:type="dxa"/>
            <w:shd w:val="clear" w:color="auto" w:fill="8DB3E2" w:themeFill="text2" w:themeFillTint="66"/>
          </w:tcPr>
          <w:p w:rsidR="008E61E1" w:rsidRPr="00934BF5" w:rsidRDefault="008E61E1" w:rsidP="00B71912">
            <w:pPr>
              <w:spacing w:after="0" w:line="240" w:lineRule="auto"/>
              <w:jc w:val="center"/>
              <w:rPr>
                <w:b/>
              </w:rPr>
            </w:pPr>
            <w:r w:rsidRPr="00934BF5">
              <w:rPr>
                <w:b/>
              </w:rPr>
              <w:t>Nivel de logro(L,ML,NL)</w:t>
            </w:r>
          </w:p>
        </w:tc>
      </w:tr>
      <w:tr w:rsidR="009025F7" w:rsidRPr="00934BF5" w:rsidTr="008E61E1">
        <w:tc>
          <w:tcPr>
            <w:tcW w:w="7338" w:type="dxa"/>
          </w:tcPr>
          <w:p w:rsidR="009025F7" w:rsidRPr="000463C6" w:rsidRDefault="009025F7" w:rsidP="009025F7">
            <w:pPr>
              <w:spacing w:after="0" w:line="240" w:lineRule="auto"/>
            </w:pPr>
            <w:r w:rsidRPr="009025F7">
              <w:rPr>
                <w:b/>
              </w:rPr>
              <w:t>Responsable y Fuente:</w:t>
            </w:r>
            <w:r w:rsidRPr="000463C6">
              <w:t xml:space="preserve"> Aplicar  exámenes de postulación en Antofagasta, Santiago, Concepción y Temuco de manera gradual a partir de enero de 2012 (Vinculada a indicador N°69)</w:t>
            </w:r>
          </w:p>
        </w:tc>
        <w:tc>
          <w:tcPr>
            <w:tcW w:w="6804" w:type="dxa"/>
          </w:tcPr>
          <w:p w:rsidR="009025F7" w:rsidRPr="00934BF5" w:rsidRDefault="009025F7" w:rsidP="009025F7">
            <w:pPr>
              <w:spacing w:after="0" w:line="240" w:lineRule="auto"/>
              <w:rPr>
                <w:b/>
              </w:rPr>
            </w:pPr>
          </w:p>
        </w:tc>
      </w:tr>
      <w:tr w:rsidR="009025F7" w:rsidRPr="00934BF5" w:rsidTr="008E61E1">
        <w:tc>
          <w:tcPr>
            <w:tcW w:w="7338" w:type="dxa"/>
          </w:tcPr>
          <w:p w:rsidR="009025F7" w:rsidRPr="000463C6" w:rsidRDefault="009025F7" w:rsidP="009025F7">
            <w:pPr>
              <w:spacing w:after="0" w:line="240" w:lineRule="auto"/>
            </w:pPr>
            <w:r w:rsidRPr="00697998">
              <w:rPr>
                <w:b/>
              </w:rPr>
              <w:t>Fuente:</w:t>
            </w:r>
            <w:r w:rsidRPr="000463C6">
              <w:t xml:space="preserve"> Aplicar procesos informáticos que permitan la postulación de alumnos online a partir de 2013 2012 (Vinculada a indicador N°70)</w:t>
            </w:r>
          </w:p>
        </w:tc>
        <w:tc>
          <w:tcPr>
            <w:tcW w:w="6804" w:type="dxa"/>
          </w:tcPr>
          <w:p w:rsidR="009025F7" w:rsidRPr="00934BF5" w:rsidRDefault="009025F7" w:rsidP="009025F7">
            <w:pPr>
              <w:spacing w:after="0" w:line="240" w:lineRule="auto"/>
              <w:rPr>
                <w:b/>
              </w:rPr>
            </w:pPr>
          </w:p>
        </w:tc>
      </w:tr>
      <w:tr w:rsidR="009025F7" w:rsidRPr="00934BF5" w:rsidTr="008E61E1">
        <w:tc>
          <w:tcPr>
            <w:tcW w:w="7338" w:type="dxa"/>
          </w:tcPr>
          <w:p w:rsidR="009025F7" w:rsidRPr="000463C6" w:rsidRDefault="009025F7" w:rsidP="009025F7">
            <w:pPr>
              <w:spacing w:after="0" w:line="240" w:lineRule="auto"/>
            </w:pPr>
            <w:r w:rsidRPr="00697998">
              <w:rPr>
                <w:b/>
              </w:rPr>
              <w:t>Fuente:</w:t>
            </w:r>
            <w:r w:rsidRPr="000463C6">
              <w:t xml:space="preserve"> Aplicar procesos informáticos que optimicen tiempos y trámites de admisión y matrícula a partir de 2012. (Vinculada a indicador N°71)</w:t>
            </w:r>
          </w:p>
        </w:tc>
        <w:tc>
          <w:tcPr>
            <w:tcW w:w="6804" w:type="dxa"/>
          </w:tcPr>
          <w:p w:rsidR="009025F7" w:rsidRPr="00934BF5" w:rsidRDefault="009025F7" w:rsidP="009025F7">
            <w:pPr>
              <w:spacing w:after="0" w:line="240" w:lineRule="auto"/>
              <w:rPr>
                <w:b/>
              </w:rPr>
            </w:pPr>
          </w:p>
        </w:tc>
      </w:tr>
      <w:tr w:rsidR="009025F7" w:rsidRPr="00934BF5" w:rsidTr="008E61E1">
        <w:tc>
          <w:tcPr>
            <w:tcW w:w="7338" w:type="dxa"/>
          </w:tcPr>
          <w:p w:rsidR="009025F7" w:rsidRPr="000463C6" w:rsidRDefault="009025F7" w:rsidP="009025F7">
            <w:pPr>
              <w:pStyle w:val="Prrafodelista"/>
              <w:spacing w:after="0" w:line="240" w:lineRule="auto"/>
              <w:ind w:left="47"/>
            </w:pPr>
            <w:r w:rsidRPr="00697998">
              <w:rPr>
                <w:b/>
              </w:rPr>
              <w:t>Fuente:</w:t>
            </w:r>
            <w:r w:rsidRPr="000463C6">
              <w:t xml:space="preserve"> Aumentar  anualmente en  10 % el número de alumnos que provienen del sistema educacional adventista en Chile (Vinculada a indicador N°147)</w:t>
            </w:r>
          </w:p>
        </w:tc>
        <w:tc>
          <w:tcPr>
            <w:tcW w:w="6804" w:type="dxa"/>
          </w:tcPr>
          <w:p w:rsidR="009025F7" w:rsidRPr="00934BF5" w:rsidRDefault="009025F7" w:rsidP="009025F7">
            <w:pPr>
              <w:spacing w:after="0" w:line="240" w:lineRule="auto"/>
              <w:rPr>
                <w:b/>
              </w:rPr>
            </w:pPr>
          </w:p>
        </w:tc>
      </w:tr>
      <w:tr w:rsidR="009025F7" w:rsidRPr="00934BF5" w:rsidTr="008E61E1">
        <w:tc>
          <w:tcPr>
            <w:tcW w:w="7338" w:type="dxa"/>
          </w:tcPr>
          <w:p w:rsidR="009025F7" w:rsidRPr="000463C6" w:rsidRDefault="009025F7" w:rsidP="009025F7">
            <w:pPr>
              <w:pStyle w:val="Prrafodelista"/>
              <w:spacing w:after="0" w:line="240" w:lineRule="auto"/>
              <w:ind w:left="47"/>
            </w:pPr>
            <w:r w:rsidRPr="00697998">
              <w:rPr>
                <w:b/>
              </w:rPr>
              <w:t>Fuente:</w:t>
            </w:r>
            <w:r w:rsidRPr="000463C6">
              <w:t xml:space="preserve"> Aumentar en 10 % el número de alumnos adventistas de Sudamérica (Vinculada a indicador N°148)</w:t>
            </w:r>
          </w:p>
        </w:tc>
        <w:tc>
          <w:tcPr>
            <w:tcW w:w="6804" w:type="dxa"/>
          </w:tcPr>
          <w:p w:rsidR="009025F7" w:rsidRPr="00934BF5" w:rsidRDefault="009025F7" w:rsidP="009025F7">
            <w:pPr>
              <w:spacing w:after="0" w:line="240" w:lineRule="auto"/>
              <w:rPr>
                <w:b/>
              </w:rPr>
            </w:pPr>
          </w:p>
        </w:tc>
      </w:tr>
      <w:tr w:rsidR="009025F7" w:rsidRPr="00934BF5" w:rsidTr="008E61E1">
        <w:tc>
          <w:tcPr>
            <w:tcW w:w="7338" w:type="dxa"/>
          </w:tcPr>
          <w:p w:rsidR="009025F7" w:rsidRPr="000463C6" w:rsidRDefault="009025F7" w:rsidP="009025F7">
            <w:pPr>
              <w:pStyle w:val="Prrafodelista"/>
              <w:spacing w:after="0" w:line="240" w:lineRule="auto"/>
              <w:ind w:left="47"/>
            </w:pPr>
            <w:r w:rsidRPr="00697998">
              <w:rPr>
                <w:b/>
              </w:rPr>
              <w:t>Fuente:</w:t>
            </w:r>
            <w:r w:rsidRPr="000463C6">
              <w:t xml:space="preserve"> Ingresar la  información histórica al sistema Power Campus a partir del año 2012. (Vinculada a indicador N°212)</w:t>
            </w:r>
          </w:p>
        </w:tc>
        <w:tc>
          <w:tcPr>
            <w:tcW w:w="6804" w:type="dxa"/>
          </w:tcPr>
          <w:p w:rsidR="009025F7" w:rsidRPr="00934BF5" w:rsidRDefault="009025F7" w:rsidP="009025F7">
            <w:pPr>
              <w:spacing w:after="0" w:line="240" w:lineRule="auto"/>
              <w:rPr>
                <w:b/>
              </w:rPr>
            </w:pPr>
          </w:p>
        </w:tc>
      </w:tr>
      <w:tr w:rsidR="009025F7" w:rsidRPr="00934BF5" w:rsidTr="008E61E1">
        <w:tc>
          <w:tcPr>
            <w:tcW w:w="7338" w:type="dxa"/>
          </w:tcPr>
          <w:p w:rsidR="009025F7" w:rsidRPr="00133416" w:rsidRDefault="009025F7" w:rsidP="009025F7">
            <w:pPr>
              <w:pStyle w:val="Prrafodelista"/>
              <w:spacing w:after="0" w:line="240" w:lineRule="auto"/>
              <w:ind w:left="47"/>
              <w:rPr>
                <w:rFonts w:asciiTheme="minorHAnsi" w:hAnsiTheme="minorHAnsi"/>
              </w:rPr>
            </w:pPr>
            <w:r w:rsidRPr="00697998">
              <w:rPr>
                <w:rFonts w:asciiTheme="minorHAnsi" w:hAnsiTheme="minorHAnsi"/>
                <w:b/>
              </w:rPr>
              <w:t>Fuente:</w:t>
            </w:r>
            <w:r w:rsidRPr="00133416">
              <w:rPr>
                <w:rFonts w:asciiTheme="minorHAnsi" w:hAnsiTheme="minorHAnsi"/>
              </w:rPr>
              <w:t xml:space="preserve"> Utilizar a plena capacidad el sistema power campus a diciembre 2012,  entregando información en tiempo real. (Vinculada a indicador N°213)</w:t>
            </w:r>
          </w:p>
        </w:tc>
        <w:tc>
          <w:tcPr>
            <w:tcW w:w="6804" w:type="dxa"/>
          </w:tcPr>
          <w:p w:rsidR="009025F7" w:rsidRPr="00934BF5" w:rsidRDefault="009025F7" w:rsidP="009025F7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97998" w:rsidRDefault="00697998" w:rsidP="00697998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697998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Default="005E7198" w:rsidP="006979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4B0B61" w:rsidP="005E7198">
      <w:pPr>
        <w:rPr>
          <w:rFonts w:asciiTheme="minorHAnsi" w:hAnsiTheme="minorHAnsi"/>
          <w:b/>
          <w:lang w:val="es-CL"/>
        </w:rPr>
      </w:pPr>
      <w:r w:rsidRPr="004B0B61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697998" w:rsidRDefault="00697998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900069">
        <w:rPr>
          <w:rFonts w:asciiTheme="minorHAnsi" w:hAnsiTheme="minorHAnsi"/>
          <w:b/>
        </w:rPr>
        <w:t>4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697998">
              <w:rPr>
                <w:rFonts w:asciiTheme="minorHAnsi" w:hAnsiTheme="minorHAnsi"/>
              </w:rPr>
              <w:t>.-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697998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-</w:t>
            </w:r>
          </w:p>
          <w:p w:rsidR="00630A68" w:rsidRPr="004515D8" w:rsidRDefault="00630A68" w:rsidP="0069799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697998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-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697998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</w:tbl>
    <w:p w:rsidR="00697998" w:rsidRDefault="00697998"/>
    <w:p w:rsidR="00697998" w:rsidRDefault="00697998"/>
    <w:p w:rsidR="00697998" w:rsidRDefault="00697998"/>
    <w:p w:rsidR="00697998" w:rsidRDefault="00697998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4B0B61" w:rsidP="005E7198">
      <w:pPr>
        <w:rPr>
          <w:rFonts w:asciiTheme="minorHAnsi" w:hAnsiTheme="minorHAnsi"/>
          <w:b/>
        </w:rPr>
      </w:pPr>
      <w:r w:rsidRPr="004B0B61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697998" w:rsidRDefault="00697998" w:rsidP="00110A88">
      <w:pPr>
        <w:spacing w:after="0"/>
        <w:rPr>
          <w:rFonts w:asciiTheme="minorHAnsi" w:hAnsiTheme="minorHAnsi"/>
          <w:b/>
        </w:rPr>
      </w:pPr>
    </w:p>
    <w:p w:rsidR="00697998" w:rsidRDefault="00697998" w:rsidP="00110A88">
      <w:pPr>
        <w:spacing w:after="0"/>
        <w:rPr>
          <w:rFonts w:asciiTheme="minorHAnsi" w:hAnsiTheme="minorHAnsi"/>
          <w:b/>
        </w:rPr>
      </w:pPr>
    </w:p>
    <w:p w:rsidR="00697998" w:rsidRDefault="00697998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N°5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>
        <w:rPr>
          <w:rFonts w:asciiTheme="minorHAnsi" w:hAnsiTheme="minorHAnsi"/>
          <w:b/>
        </w:rPr>
        <w:t xml:space="preserve"> DE LA DIRECCIÓN DE REGISTROS ACADÉMICOS Y ADMISIÓN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</w:t>
      </w:r>
      <w:bookmarkStart w:id="0" w:name="_GoBack"/>
      <w:bookmarkEnd w:id="0"/>
      <w:r w:rsidRPr="00D27911">
        <w:rPr>
          <w:rFonts w:asciiTheme="minorHAnsi" w:hAnsiTheme="minorHAnsi"/>
          <w:b/>
        </w:rPr>
        <w:t>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90006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N°6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697998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697998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697998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697998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697998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714" w:rsidRDefault="00CD0714" w:rsidP="00F321DC">
      <w:pPr>
        <w:spacing w:after="0" w:line="240" w:lineRule="auto"/>
      </w:pPr>
      <w:r>
        <w:separator/>
      </w:r>
    </w:p>
  </w:endnote>
  <w:endnote w:type="continuationSeparator" w:id="1">
    <w:p w:rsidR="00CD0714" w:rsidRDefault="00CD0714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697998" w:rsidRDefault="00697998">
        <w:pPr>
          <w:pStyle w:val="Piedepgina"/>
          <w:jc w:val="right"/>
        </w:pPr>
        <w:fldSimple w:instr=" PAGE   \* MERGEFORMAT ">
          <w:r w:rsidR="00986C8F">
            <w:rPr>
              <w:noProof/>
            </w:rPr>
            <w:t>18</w:t>
          </w:r>
        </w:fldSimple>
      </w:p>
    </w:sdtContent>
  </w:sdt>
  <w:p w:rsidR="00697998" w:rsidRDefault="006979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714" w:rsidRDefault="00CD0714" w:rsidP="00F321DC">
      <w:pPr>
        <w:spacing w:after="0" w:line="240" w:lineRule="auto"/>
      </w:pPr>
      <w:r>
        <w:separator/>
      </w:r>
    </w:p>
  </w:footnote>
  <w:footnote w:type="continuationSeparator" w:id="1">
    <w:p w:rsidR="00CD0714" w:rsidRDefault="00CD0714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998" w:rsidRDefault="00697998">
    <w:pPr>
      <w:pStyle w:val="Encabezado"/>
    </w:pPr>
  </w:p>
  <w:p w:rsidR="00697998" w:rsidRDefault="0069799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998" w:rsidRDefault="00697998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97998" w:rsidRDefault="00697998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697998" w:rsidRPr="00AC3CE7" w:rsidRDefault="00697998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F2716"/>
    <w:rsid w:val="003F4E9C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0B61"/>
    <w:rsid w:val="004B2879"/>
    <w:rsid w:val="004C0352"/>
    <w:rsid w:val="004D00A7"/>
    <w:rsid w:val="004D2EE1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5918"/>
    <w:rsid w:val="00665501"/>
    <w:rsid w:val="006675EA"/>
    <w:rsid w:val="00694779"/>
    <w:rsid w:val="006976BF"/>
    <w:rsid w:val="00697998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86C8F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B70"/>
    <w:rsid w:val="00AD7B39"/>
    <w:rsid w:val="00AE0305"/>
    <w:rsid w:val="00AE266E"/>
    <w:rsid w:val="00AF0B98"/>
    <w:rsid w:val="00AF40EA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0714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4613"/>
    <w:rsid w:val="00EA58C1"/>
    <w:rsid w:val="00EA6407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>
            <a:solidFill>
              <a:schemeClr val="tx1"/>
            </a:solidFill>
            <a:latin typeface="+mn-lt"/>
          </a:endParaRP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IV.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57205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7512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7F9F0D6A-9522-4EC3-BB03-78C0FAC81288}" type="presOf" srcId="{9AB012B8-2013-450E-9838-0C28222136BD}" destId="{91D06AA7-979D-43BF-B212-107FACA35ABA}" srcOrd="0" destOrd="1" presId="urn:microsoft.com/office/officeart/2005/8/layout/vList4#1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E43BFE16-FCB3-44ED-AF6C-86BD23D01D09}" type="presOf" srcId="{F9C1ABE1-9CC1-4B98-9F18-448C386F07BB}" destId="{D7C1CED6-C28A-44AA-A56E-8BF9F93A5C63}" srcOrd="0" destOrd="0" presId="urn:microsoft.com/office/officeart/2005/8/layout/vList4#1"/>
    <dgm:cxn modelId="{4475B55F-E5C3-4C88-A96E-F77BC899DA07}" type="presOf" srcId="{6AA3FB31-4991-444D-A81C-0248C1DD88DC}" destId="{99B4252B-8A91-4748-9825-EE88056880A2}" srcOrd="0" destOrd="0" presId="urn:microsoft.com/office/officeart/2005/8/layout/vList4#1"/>
    <dgm:cxn modelId="{7365FE09-5825-40EC-A4AD-12AADAF6C15D}" type="presOf" srcId="{F9C1ABE1-9CC1-4B98-9F18-448C386F07BB}" destId="{9AEAC8AE-0E2F-4013-B60E-3514410A1D49}" srcOrd="1" destOrd="0" presId="urn:microsoft.com/office/officeart/2005/8/layout/vList4#1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BB6678B9-67EC-42F6-B9BA-F06B33C0B724}" type="presOf" srcId="{7D736F56-5E7C-4165-A439-DB85FF57B667}" destId="{0F1D83A8-E96B-4ED1-86DB-8974815ECD30}" srcOrd="1" destOrd="0" presId="urn:microsoft.com/office/officeart/2005/8/layout/vList4#1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3AA55E98-03D3-4588-8ED9-9C65D2AE6E7D}" type="presOf" srcId="{C1EAD699-C332-4768-9340-40BA75436597}" destId="{E6F352DB-CD87-4918-9AD7-E42C47D5DCDD}" srcOrd="1" destOrd="0" presId="urn:microsoft.com/office/officeart/2005/8/layout/vList4#1"/>
    <dgm:cxn modelId="{345D2D96-05F4-4D53-91CB-D9ED9D7E507D}" type="presOf" srcId="{9AB012B8-2013-450E-9838-0C28222136BD}" destId="{E6F352DB-CD87-4918-9AD7-E42C47D5DCDD}" srcOrd="1" destOrd="1" presId="urn:microsoft.com/office/officeart/2005/8/layout/vList4#1"/>
    <dgm:cxn modelId="{07C6224D-F4EB-4C66-AE79-F27699886138}" type="presOf" srcId="{C1EAD699-C332-4768-9340-40BA75436597}" destId="{91D06AA7-979D-43BF-B212-107FACA35ABA}" srcOrd="0" destOrd="0" presId="urn:microsoft.com/office/officeart/2005/8/layout/vList4#1"/>
    <dgm:cxn modelId="{D5B520B6-0598-40B1-A7A4-6B9852C01DB0}" type="presOf" srcId="{7D736F56-5E7C-4165-A439-DB85FF57B667}" destId="{881537AB-96C8-465C-B9F2-F14F4D5B2C60}" srcOrd="0" destOrd="0" presId="urn:microsoft.com/office/officeart/2005/8/layout/vList4#1"/>
    <dgm:cxn modelId="{3AEDE02C-9900-4642-904C-19654D34C46B}" type="presParOf" srcId="{99B4252B-8A91-4748-9825-EE88056880A2}" destId="{18D71F07-69E2-4CBD-9C2B-B76CB06075E4}" srcOrd="0" destOrd="0" presId="urn:microsoft.com/office/officeart/2005/8/layout/vList4#1"/>
    <dgm:cxn modelId="{1B04732D-C614-4C58-97D3-5677E78EB41F}" type="presParOf" srcId="{18D71F07-69E2-4CBD-9C2B-B76CB06075E4}" destId="{91D06AA7-979D-43BF-B212-107FACA35ABA}" srcOrd="0" destOrd="0" presId="urn:microsoft.com/office/officeart/2005/8/layout/vList4#1"/>
    <dgm:cxn modelId="{12E781AC-1197-4942-9592-08ADA1DECF7D}" type="presParOf" srcId="{18D71F07-69E2-4CBD-9C2B-B76CB06075E4}" destId="{35BD51C7-13ED-46EC-99EB-69C6A5C7F517}" srcOrd="1" destOrd="0" presId="urn:microsoft.com/office/officeart/2005/8/layout/vList4#1"/>
    <dgm:cxn modelId="{32F8BD69-61AF-4611-9146-5AF4E6C7C082}" type="presParOf" srcId="{18D71F07-69E2-4CBD-9C2B-B76CB06075E4}" destId="{E6F352DB-CD87-4918-9AD7-E42C47D5DCDD}" srcOrd="2" destOrd="0" presId="urn:microsoft.com/office/officeart/2005/8/layout/vList4#1"/>
    <dgm:cxn modelId="{53CFAD30-8E0F-415C-9375-E90A0159FA49}" type="presParOf" srcId="{99B4252B-8A91-4748-9825-EE88056880A2}" destId="{25D340C1-1622-45D0-80D0-BE9A0913DD9F}" srcOrd="1" destOrd="0" presId="urn:microsoft.com/office/officeart/2005/8/layout/vList4#1"/>
    <dgm:cxn modelId="{87E6923B-826E-4830-AB40-BEC97159342C}" type="presParOf" srcId="{99B4252B-8A91-4748-9825-EE88056880A2}" destId="{BA1BFBF2-4F25-435A-8168-D27DD89DBDA9}" srcOrd="2" destOrd="0" presId="urn:microsoft.com/office/officeart/2005/8/layout/vList4#1"/>
    <dgm:cxn modelId="{207AA9F6-CC72-4B14-B405-B04886620B83}" type="presParOf" srcId="{BA1BFBF2-4F25-435A-8168-D27DD89DBDA9}" destId="{881537AB-96C8-465C-B9F2-F14F4D5B2C60}" srcOrd="0" destOrd="0" presId="urn:microsoft.com/office/officeart/2005/8/layout/vList4#1"/>
    <dgm:cxn modelId="{E45B4791-FDDB-4353-8F2A-861AAE856F32}" type="presParOf" srcId="{BA1BFBF2-4F25-435A-8168-D27DD89DBDA9}" destId="{4FA255E2-8701-4F4E-995A-B6AF0629C9A7}" srcOrd="1" destOrd="0" presId="urn:microsoft.com/office/officeart/2005/8/layout/vList4#1"/>
    <dgm:cxn modelId="{4CBD84FD-4A5C-4DDE-9B77-FAE992619526}" type="presParOf" srcId="{BA1BFBF2-4F25-435A-8168-D27DD89DBDA9}" destId="{0F1D83A8-E96B-4ED1-86DB-8974815ECD30}" srcOrd="2" destOrd="0" presId="urn:microsoft.com/office/officeart/2005/8/layout/vList4#1"/>
    <dgm:cxn modelId="{8185EA1C-24FC-4C96-BD93-7731E763C8CB}" type="presParOf" srcId="{99B4252B-8A91-4748-9825-EE88056880A2}" destId="{D747FC36-A6F5-4493-8FCA-3E90F496E8C8}" srcOrd="3" destOrd="0" presId="urn:microsoft.com/office/officeart/2005/8/layout/vList4#1"/>
    <dgm:cxn modelId="{207C167A-F29F-4EDD-B142-A6DBCBA1A59A}" type="presParOf" srcId="{99B4252B-8A91-4748-9825-EE88056880A2}" destId="{93142622-88A7-4214-9224-299B0A579FEF}" srcOrd="4" destOrd="0" presId="urn:microsoft.com/office/officeart/2005/8/layout/vList4#1"/>
    <dgm:cxn modelId="{6D008B38-2853-4B9B-A5B0-DE73B322B0C3}" type="presParOf" srcId="{93142622-88A7-4214-9224-299B0A579FEF}" destId="{D7C1CED6-C28A-44AA-A56E-8BF9F93A5C63}" srcOrd="0" destOrd="0" presId="urn:microsoft.com/office/officeart/2005/8/layout/vList4#1"/>
    <dgm:cxn modelId="{3C712C81-0E96-41BC-B7C4-CE7DC822F9F8}" type="presParOf" srcId="{93142622-88A7-4214-9224-299B0A579FEF}" destId="{2696C48F-B82C-47DA-BF9F-BEF13567D525}" srcOrd="1" destOrd="0" presId="urn:microsoft.com/office/officeart/2005/8/layout/vList4#1"/>
    <dgm:cxn modelId="{5671EFFC-58AC-48E7-B48F-42301E15340D}" type="presParOf" srcId="{93142622-88A7-4214-9224-299B0A579FEF}" destId="{9AEAC8AE-0E2F-4013-B60E-3514410A1D49}" srcOrd="2" destOrd="0" presId="urn:microsoft.com/office/officeart/2005/8/layout/vList4#1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4486"/>
          <a:ext cx="8258175" cy="1363636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  <a:endParaRPr lang="es-CL" sz="1100" kern="1200">
            <a:solidFill>
              <a:schemeClr val="tx1"/>
            </a:solidFill>
            <a:latin typeface="+mn-lt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90012" y="34486"/>
        <a:ext cx="6368162" cy="1363636"/>
      </dsp:txXfrm>
    </dsp:sp>
    <dsp:sp modelId="{35BD51C7-13ED-46EC-99EB-69C6A5C7F517}">
      <dsp:nvSpPr>
        <dsp:cNvPr id="0" name=""/>
        <dsp:cNvSpPr/>
      </dsp:nvSpPr>
      <dsp:spPr>
        <a:xfrm>
          <a:off x="238377" y="0"/>
          <a:ext cx="1651635" cy="143260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711714"/>
          <a:ext cx="8258175" cy="12936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90012" y="1711714"/>
        <a:ext cx="6368162" cy="1293672"/>
      </dsp:txXfrm>
    </dsp:sp>
    <dsp:sp modelId="{4FA255E2-8701-4F4E-995A-B6AF0629C9A7}">
      <dsp:nvSpPr>
        <dsp:cNvPr id="0" name=""/>
        <dsp:cNvSpPr/>
      </dsp:nvSpPr>
      <dsp:spPr>
        <a:xfrm>
          <a:off x="238377" y="1670985"/>
          <a:ext cx="1651635" cy="137513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357457"/>
          <a:ext cx="8258175" cy="1349857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90012" y="3357457"/>
        <a:ext cx="6368162" cy="1349857"/>
      </dsp:txXfrm>
    </dsp:sp>
    <dsp:sp modelId="{2696C48F-B82C-47DA-BF9F-BEF13567D525}">
      <dsp:nvSpPr>
        <dsp:cNvPr id="0" name=""/>
        <dsp:cNvSpPr/>
      </dsp:nvSpPr>
      <dsp:spPr>
        <a:xfrm>
          <a:off x="333379" y="3284492"/>
          <a:ext cx="1461630" cy="149578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1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2292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2</cp:revision>
  <cp:lastPrinted>2012-12-17T11:36:00Z</cp:lastPrinted>
  <dcterms:created xsi:type="dcterms:W3CDTF">2012-12-17T11:38:00Z</dcterms:created>
  <dcterms:modified xsi:type="dcterms:W3CDTF">2012-12-17T11:38:00Z</dcterms:modified>
</cp:coreProperties>
</file>