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DD410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Dirección de </w:t>
      </w:r>
      <w:r w:rsidR="00A360EA">
        <w:rPr>
          <w:color w:val="000000" w:themeColor="text1"/>
          <w:sz w:val="28"/>
          <w:szCs w:val="28"/>
          <w:lang w:val="es-CL"/>
        </w:rPr>
        <w:t>Comunicaciones y Relaciones Públicas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  <w:bookmarkStart w:id="0" w:name="_GoBack"/>
      <w:bookmarkEnd w:id="0"/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4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900069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0F5D2E" w:rsidRPr="00D73545" w:rsidRDefault="000F5D2E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6D42F7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6D42F7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38" w:type="pct"/>
        <w:tblLook w:val="04A0"/>
      </w:tblPr>
      <w:tblGrid>
        <w:gridCol w:w="3227"/>
        <w:gridCol w:w="3117"/>
        <w:gridCol w:w="2837"/>
        <w:gridCol w:w="2127"/>
        <w:gridCol w:w="1417"/>
        <w:gridCol w:w="1417"/>
      </w:tblGrid>
      <w:tr w:rsidR="00A44D01" w:rsidRPr="00A44D01" w:rsidTr="00A44D01">
        <w:trPr>
          <w:cnfStyle w:val="100000000000"/>
          <w:trHeight w:val="340"/>
        </w:trPr>
        <w:tc>
          <w:tcPr>
            <w:cnfStyle w:val="001000000000"/>
            <w:tcW w:w="1141" w:type="pct"/>
            <w:shd w:val="clear" w:color="auto" w:fill="8DB3E2" w:themeFill="text2" w:themeFillTint="66"/>
          </w:tcPr>
          <w:p w:rsidR="00A360EA" w:rsidRPr="00A44D01" w:rsidRDefault="00A360EA" w:rsidP="00A44D01">
            <w:pPr>
              <w:rPr>
                <w:rFonts w:asciiTheme="minorHAnsi" w:hAnsiTheme="minorHAnsi" w:cs="Calibri"/>
              </w:rPr>
            </w:pPr>
            <w:r w:rsidRPr="00A44D01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1102" w:type="pct"/>
            <w:shd w:val="clear" w:color="auto" w:fill="8DB3E2" w:themeFill="text2" w:themeFillTint="66"/>
          </w:tcPr>
          <w:p w:rsidR="00A360EA" w:rsidRPr="00A44D01" w:rsidRDefault="00A360EA" w:rsidP="00A44D01">
            <w:pPr>
              <w:cnfStyle w:val="100000000000"/>
              <w:rPr>
                <w:rFonts w:asciiTheme="minorHAnsi" w:hAnsiTheme="minorHAnsi" w:cs="Calibri"/>
              </w:rPr>
            </w:pPr>
            <w:r w:rsidRPr="00A44D01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1003" w:type="pct"/>
            <w:shd w:val="clear" w:color="auto" w:fill="8DB3E2" w:themeFill="text2" w:themeFillTint="66"/>
          </w:tcPr>
          <w:p w:rsidR="00A360EA" w:rsidRPr="00A44D01" w:rsidRDefault="00A360EA" w:rsidP="00A44D01">
            <w:pPr>
              <w:cnfStyle w:val="100000000000"/>
              <w:rPr>
                <w:rFonts w:asciiTheme="minorHAnsi" w:hAnsiTheme="minorHAnsi" w:cs="Calibri"/>
              </w:rPr>
            </w:pPr>
            <w:r w:rsidRPr="00A44D01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752" w:type="pct"/>
            <w:shd w:val="clear" w:color="auto" w:fill="8DB3E2" w:themeFill="text2" w:themeFillTint="66"/>
          </w:tcPr>
          <w:p w:rsidR="00A360EA" w:rsidRPr="00A44D01" w:rsidRDefault="00A360EA" w:rsidP="00A44D01">
            <w:pPr>
              <w:cnfStyle w:val="100000000000"/>
              <w:rPr>
                <w:rFonts w:asciiTheme="minorHAnsi" w:hAnsiTheme="minorHAnsi" w:cs="Calibri"/>
              </w:rPr>
            </w:pPr>
            <w:r w:rsidRPr="00A44D01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01" w:type="pct"/>
            <w:shd w:val="clear" w:color="auto" w:fill="8DB3E2" w:themeFill="text2" w:themeFillTint="66"/>
          </w:tcPr>
          <w:p w:rsidR="00A360EA" w:rsidRPr="00A44D01" w:rsidRDefault="00A360EA" w:rsidP="00A44D01">
            <w:pPr>
              <w:cnfStyle w:val="100000000000"/>
              <w:rPr>
                <w:rFonts w:asciiTheme="minorHAnsi" w:hAnsiTheme="minorHAnsi" w:cs="Calibri"/>
              </w:rPr>
            </w:pPr>
            <w:r w:rsidRPr="00A44D01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01" w:type="pct"/>
            <w:shd w:val="clear" w:color="auto" w:fill="8DB3E2" w:themeFill="text2" w:themeFillTint="66"/>
          </w:tcPr>
          <w:p w:rsidR="00A360EA" w:rsidRPr="00A44D01" w:rsidRDefault="00A360EA" w:rsidP="00A44D01">
            <w:pPr>
              <w:cnfStyle w:val="100000000000"/>
              <w:rPr>
                <w:rFonts w:asciiTheme="minorHAnsi" w:hAnsiTheme="minorHAnsi" w:cs="Calibri"/>
              </w:rPr>
            </w:pPr>
            <w:r w:rsidRPr="00A44D01">
              <w:rPr>
                <w:rFonts w:asciiTheme="minorHAnsi" w:hAnsiTheme="minorHAnsi" w:cs="Calibri"/>
              </w:rPr>
              <w:t>Nivel de Logro</w:t>
            </w:r>
          </w:p>
        </w:tc>
      </w:tr>
      <w:tr w:rsidR="00A44D01" w:rsidRPr="00A44D01" w:rsidTr="00A44D01">
        <w:trPr>
          <w:cnfStyle w:val="000000100000"/>
          <w:trHeight w:val="850"/>
        </w:trPr>
        <w:tc>
          <w:tcPr>
            <w:cnfStyle w:val="001000000000"/>
            <w:tcW w:w="1141" w:type="pct"/>
          </w:tcPr>
          <w:p w:rsidR="00A360EA" w:rsidRPr="00A44D01" w:rsidRDefault="00A360EA" w:rsidP="00A44D01">
            <w:pPr>
              <w:spacing w:after="0"/>
              <w:rPr>
                <w:rFonts w:asciiTheme="minorHAnsi" w:hAnsiTheme="minorHAnsi" w:cs="Calibri"/>
                <w:b w:val="0"/>
                <w:color w:val="000000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</w:rPr>
              <w:t>Socialización de la estructura organizacional y el conocimiento del sistema de gobierno universitario.</w:t>
            </w:r>
          </w:p>
        </w:tc>
        <w:tc>
          <w:tcPr>
            <w:tcW w:w="1102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Enviar UNACH al DÍA a los alumnos, vía correo electrónico,   </w:t>
            </w:r>
          </w:p>
        </w:tc>
        <w:tc>
          <w:tcPr>
            <w:tcW w:w="1003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Boletín “Unach al Día” enviado al 90% de los alumnos, vía correo electrónico.</w:t>
            </w:r>
          </w:p>
        </w:tc>
        <w:tc>
          <w:tcPr>
            <w:tcW w:w="752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Base de datos actualizada</w:t>
            </w:r>
          </w:p>
        </w:tc>
        <w:tc>
          <w:tcPr>
            <w:tcW w:w="501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Abril de 2011</w:t>
            </w:r>
          </w:p>
        </w:tc>
        <w:tc>
          <w:tcPr>
            <w:tcW w:w="501" w:type="pct"/>
          </w:tcPr>
          <w:p w:rsidR="00A360EA" w:rsidRPr="00A44D01" w:rsidRDefault="00A360EA" w:rsidP="00A44D01">
            <w:pPr>
              <w:spacing w:after="0"/>
              <w:cnfStyle w:val="000000100000"/>
              <w:rPr>
                <w:rFonts w:asciiTheme="minorHAnsi" w:hAnsiTheme="minorHAnsi"/>
              </w:rPr>
            </w:pPr>
          </w:p>
        </w:tc>
      </w:tr>
      <w:tr w:rsidR="00A44D01" w:rsidRPr="00A44D01" w:rsidTr="00A44D01">
        <w:trPr>
          <w:cnfStyle w:val="000000010000"/>
          <w:trHeight w:val="850"/>
        </w:trPr>
        <w:tc>
          <w:tcPr>
            <w:cnfStyle w:val="001000000000"/>
            <w:tcW w:w="1141" w:type="pct"/>
          </w:tcPr>
          <w:p w:rsidR="00A360EA" w:rsidRPr="00A44D01" w:rsidRDefault="00A360EA" w:rsidP="00A44D01">
            <w:pPr>
              <w:pStyle w:val="Prrafodelista"/>
              <w:spacing w:after="0"/>
              <w:ind w:left="0"/>
              <w:rPr>
                <w:rFonts w:asciiTheme="minorHAnsi" w:hAnsiTheme="minorHAnsi"/>
                <w:b w:val="0"/>
                <w:i/>
              </w:rPr>
            </w:pPr>
            <w:r w:rsidRPr="00A44D01">
              <w:rPr>
                <w:rFonts w:asciiTheme="minorHAnsi" w:hAnsiTheme="minorHAnsi"/>
                <w:b w:val="0"/>
              </w:rPr>
              <w:t>Difusión clara y oportunamente los procesos de nombramiento de las autoridades</w:t>
            </w:r>
          </w:p>
          <w:p w:rsidR="00A360EA" w:rsidRPr="00A44D01" w:rsidRDefault="00A360EA" w:rsidP="00A44D01">
            <w:pPr>
              <w:pStyle w:val="Prrafodelista"/>
              <w:spacing w:after="0"/>
              <w:rPr>
                <w:rFonts w:asciiTheme="minorHAnsi" w:hAnsiTheme="minorHAnsi"/>
                <w:b w:val="0"/>
                <w:i/>
              </w:rPr>
            </w:pPr>
          </w:p>
          <w:p w:rsidR="00A360EA" w:rsidRPr="00A44D01" w:rsidRDefault="00A360EA" w:rsidP="00A44D01">
            <w:pPr>
              <w:spacing w:after="0"/>
              <w:rPr>
                <w:rFonts w:asciiTheme="minorHAnsi" w:hAnsiTheme="minorHAnsi" w:cs="Calibri"/>
                <w:b w:val="0"/>
                <w:color w:val="000000"/>
              </w:rPr>
            </w:pPr>
          </w:p>
        </w:tc>
        <w:tc>
          <w:tcPr>
            <w:tcW w:w="1102" w:type="pct"/>
          </w:tcPr>
          <w:p w:rsidR="00A360EA" w:rsidRPr="00A44D01" w:rsidRDefault="00A360EA" w:rsidP="00A44D01">
            <w:pPr>
              <w:spacing w:after="0"/>
              <w:cnfStyle w:val="000000010000"/>
              <w:rPr>
                <w:rFonts w:asciiTheme="minorHAnsi" w:hAnsiTheme="minorHAnsi" w:cs="Calibri"/>
                <w:color w:val="000000"/>
              </w:rPr>
            </w:pPr>
            <w:r w:rsidRPr="00A44D01">
              <w:rPr>
                <w:rFonts w:asciiTheme="minorHAnsi" w:hAnsiTheme="minorHAnsi" w:cs="Calibri"/>
                <w:color w:val="000000"/>
              </w:rPr>
              <w:t xml:space="preserve">Informar los modelos usados para la elección de nuestras autoridades a toda la comunidad </w:t>
            </w:r>
          </w:p>
        </w:tc>
        <w:tc>
          <w:tcPr>
            <w:tcW w:w="1003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90% de los docentes informados de los modelos de elecciones, a través de una publicación impresa </w:t>
            </w:r>
          </w:p>
        </w:tc>
        <w:tc>
          <w:tcPr>
            <w:tcW w:w="752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/>
                <w:b w:val="0"/>
                <w:sz w:val="22"/>
                <w:szCs w:val="22"/>
              </w:rPr>
              <w:t>Porcentaje de docentes que reciben publicación impresa</w:t>
            </w:r>
          </w:p>
        </w:tc>
        <w:tc>
          <w:tcPr>
            <w:tcW w:w="501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Mayo 2011</w:t>
            </w:r>
          </w:p>
        </w:tc>
        <w:tc>
          <w:tcPr>
            <w:tcW w:w="501" w:type="pct"/>
          </w:tcPr>
          <w:p w:rsidR="00A360EA" w:rsidRPr="00A44D01" w:rsidRDefault="00A360EA" w:rsidP="00A44D01">
            <w:pPr>
              <w:spacing w:after="0"/>
              <w:cnfStyle w:val="000000010000"/>
            </w:pPr>
          </w:p>
        </w:tc>
      </w:tr>
      <w:tr w:rsidR="00A44D01" w:rsidRPr="00A44D01" w:rsidTr="00A44D01">
        <w:trPr>
          <w:cnfStyle w:val="000000100000"/>
          <w:trHeight w:val="850"/>
        </w:trPr>
        <w:tc>
          <w:tcPr>
            <w:cnfStyle w:val="001000000000"/>
            <w:tcW w:w="1141" w:type="pct"/>
          </w:tcPr>
          <w:p w:rsidR="00A360EA" w:rsidRPr="00A44D01" w:rsidRDefault="00A360EA" w:rsidP="00A44D01">
            <w:pPr>
              <w:spacing w:after="0"/>
              <w:rPr>
                <w:rFonts w:asciiTheme="minorHAnsi" w:hAnsiTheme="minorHAnsi" w:cs="Calibri"/>
                <w:b w:val="0"/>
              </w:rPr>
            </w:pPr>
            <w:r w:rsidRPr="00A44D01">
              <w:rPr>
                <w:rFonts w:asciiTheme="minorHAnsi" w:hAnsiTheme="minorHAnsi" w:cs="Calibri"/>
                <w:b w:val="0"/>
              </w:rPr>
              <w:t>Conocimiento en los procedimientos en la toma de decisiones.</w:t>
            </w:r>
          </w:p>
        </w:tc>
        <w:tc>
          <w:tcPr>
            <w:tcW w:w="1102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sz w:val="22"/>
                <w:szCs w:val="22"/>
              </w:rPr>
              <w:t>Ajustarse a la reglamentación vigente.</w:t>
            </w:r>
          </w:p>
        </w:tc>
        <w:tc>
          <w:tcPr>
            <w:tcW w:w="1003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ind w:right="-52"/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sz w:val="22"/>
                <w:szCs w:val="22"/>
              </w:rPr>
              <w:t>Socialización de los reglamentos de su área con el 100%  de los   Directivos en general.</w:t>
            </w:r>
          </w:p>
        </w:tc>
        <w:tc>
          <w:tcPr>
            <w:tcW w:w="752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sz w:val="22"/>
                <w:szCs w:val="22"/>
              </w:rPr>
              <w:t>Porcentaje de directivos que participan de la socialización.</w:t>
            </w:r>
          </w:p>
        </w:tc>
        <w:tc>
          <w:tcPr>
            <w:tcW w:w="501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sz w:val="22"/>
                <w:szCs w:val="22"/>
              </w:rPr>
              <w:t>Agosto 2011</w:t>
            </w:r>
          </w:p>
        </w:tc>
        <w:tc>
          <w:tcPr>
            <w:tcW w:w="501" w:type="pct"/>
          </w:tcPr>
          <w:p w:rsidR="00A360EA" w:rsidRPr="00A44D01" w:rsidRDefault="00A360EA" w:rsidP="00A44D01">
            <w:pPr>
              <w:spacing w:after="0"/>
              <w:cnfStyle w:val="000000100000"/>
            </w:pPr>
          </w:p>
        </w:tc>
      </w:tr>
      <w:tr w:rsidR="00A44D01" w:rsidRPr="00A44D01" w:rsidTr="00A44D01">
        <w:trPr>
          <w:cnfStyle w:val="000000010000"/>
          <w:trHeight w:val="850"/>
        </w:trPr>
        <w:tc>
          <w:tcPr>
            <w:cnfStyle w:val="001000000000"/>
            <w:tcW w:w="1141" w:type="pct"/>
          </w:tcPr>
          <w:p w:rsidR="00A360EA" w:rsidRPr="00A44D01" w:rsidRDefault="00A360EA" w:rsidP="00A44D01">
            <w:pPr>
              <w:pStyle w:val="Prrafodelista"/>
              <w:spacing w:after="0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A44D01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1102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el seguimiento de la instalación del SCAC</w:t>
            </w:r>
          </w:p>
        </w:tc>
        <w:tc>
          <w:tcPr>
            <w:tcW w:w="1003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mensual realizada, de revisión del plan propuesto por unidad</w:t>
            </w:r>
          </w:p>
        </w:tc>
        <w:tc>
          <w:tcPr>
            <w:tcW w:w="752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de revisión realizada</w:t>
            </w:r>
          </w:p>
        </w:tc>
        <w:tc>
          <w:tcPr>
            <w:tcW w:w="501" w:type="pct"/>
          </w:tcPr>
          <w:p w:rsidR="00A360EA" w:rsidRPr="00A44D01" w:rsidRDefault="00A360EA" w:rsidP="00A44D0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44D01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501" w:type="pct"/>
          </w:tcPr>
          <w:p w:rsidR="00A360EA" w:rsidRPr="00A44D01" w:rsidRDefault="00A360EA" w:rsidP="00A44D01">
            <w:pPr>
              <w:spacing w:after="0"/>
              <w:cnfStyle w:val="000000010000"/>
            </w:pPr>
          </w:p>
        </w:tc>
      </w:tr>
    </w:tbl>
    <w:p w:rsidR="00AC7B70" w:rsidRPr="00934BF5" w:rsidRDefault="00AC7B70" w:rsidP="00AC7B70"/>
    <w:p w:rsidR="00DF661B" w:rsidRDefault="00DF661B" w:rsidP="00AC7B70"/>
    <w:p w:rsidR="00A44D01" w:rsidRDefault="00A44D01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250" w:tblpY="45"/>
        <w:tblW w:w="13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838"/>
      </w:tblGrid>
      <w:tr w:rsidR="00607310" w:rsidRPr="008B79E6" w:rsidTr="00607310">
        <w:tc>
          <w:tcPr>
            <w:tcW w:w="7054" w:type="dxa"/>
            <w:shd w:val="clear" w:color="auto" w:fill="8DB3E2" w:themeFill="text2" w:themeFillTint="66"/>
          </w:tcPr>
          <w:p w:rsidR="00607310" w:rsidRPr="00CD341F" w:rsidRDefault="00607310" w:rsidP="00607310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 xml:space="preserve">Metas  </w:t>
            </w:r>
          </w:p>
        </w:tc>
        <w:tc>
          <w:tcPr>
            <w:tcW w:w="6838" w:type="dxa"/>
            <w:shd w:val="clear" w:color="auto" w:fill="8DB3E2" w:themeFill="text2" w:themeFillTint="66"/>
          </w:tcPr>
          <w:p w:rsidR="00607310" w:rsidRPr="00CD341F" w:rsidRDefault="00607310" w:rsidP="00607310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>Nivel de logro(L,ML,NL)</w:t>
            </w:r>
          </w:p>
        </w:tc>
      </w:tr>
      <w:tr w:rsidR="00607310" w:rsidRPr="008B79E6" w:rsidTr="00607310">
        <w:tc>
          <w:tcPr>
            <w:tcW w:w="7054" w:type="dxa"/>
          </w:tcPr>
          <w:p w:rsidR="00607310" w:rsidRDefault="00607310" w:rsidP="00607310">
            <w:pPr>
              <w:spacing w:after="0" w:line="240" w:lineRule="auto"/>
              <w:rPr>
                <w:sz w:val="20"/>
                <w:szCs w:val="20"/>
              </w:rPr>
            </w:pPr>
            <w:r w:rsidRPr="00607310">
              <w:rPr>
                <w:sz w:val="20"/>
                <w:szCs w:val="20"/>
              </w:rPr>
              <w:t>Mantener comunicación mensual a través del boletín Ex Alumnos al Día a partir de marzo de 2012.</w:t>
            </w:r>
            <w:r>
              <w:rPr>
                <w:sz w:val="20"/>
                <w:szCs w:val="20"/>
              </w:rPr>
              <w:t xml:space="preserve"> (Vinculada a indicador N°95)</w:t>
            </w:r>
          </w:p>
        </w:tc>
        <w:tc>
          <w:tcPr>
            <w:tcW w:w="6838" w:type="dxa"/>
          </w:tcPr>
          <w:p w:rsidR="00607310" w:rsidRPr="008B79E6" w:rsidRDefault="00607310" w:rsidP="00607310">
            <w:pPr>
              <w:spacing w:after="0" w:line="240" w:lineRule="auto"/>
              <w:rPr>
                <w:b/>
              </w:rPr>
            </w:pPr>
          </w:p>
        </w:tc>
      </w:tr>
      <w:tr w:rsidR="00607310" w:rsidRPr="008B79E6" w:rsidTr="00607310">
        <w:tc>
          <w:tcPr>
            <w:tcW w:w="7054" w:type="dxa"/>
          </w:tcPr>
          <w:p w:rsidR="00607310" w:rsidRDefault="00607310" w:rsidP="00607310">
            <w:pPr>
              <w:spacing w:after="0" w:line="240" w:lineRule="auto"/>
              <w:rPr>
                <w:sz w:val="20"/>
                <w:szCs w:val="20"/>
              </w:rPr>
            </w:pPr>
            <w:r w:rsidRPr="00607310">
              <w:rPr>
                <w:sz w:val="20"/>
                <w:szCs w:val="20"/>
              </w:rPr>
              <w:t>Conseguir al menos 4 menciones y/o reportes a la UnACh en la prensa local, regional y nacional por semestre..</w:t>
            </w:r>
            <w:r>
              <w:rPr>
                <w:sz w:val="20"/>
                <w:szCs w:val="20"/>
              </w:rPr>
              <w:t>(Vinculada a indicador N°101)</w:t>
            </w:r>
          </w:p>
        </w:tc>
        <w:tc>
          <w:tcPr>
            <w:tcW w:w="6838" w:type="dxa"/>
          </w:tcPr>
          <w:p w:rsidR="00607310" w:rsidRPr="008B79E6" w:rsidRDefault="00607310" w:rsidP="00607310">
            <w:pPr>
              <w:spacing w:after="0" w:line="240" w:lineRule="auto"/>
              <w:rPr>
                <w:b/>
              </w:rPr>
            </w:pPr>
          </w:p>
        </w:tc>
      </w:tr>
      <w:tr w:rsidR="00607310" w:rsidRPr="008B79E6" w:rsidTr="00607310">
        <w:tc>
          <w:tcPr>
            <w:tcW w:w="7054" w:type="dxa"/>
          </w:tcPr>
          <w:p w:rsidR="00607310" w:rsidRDefault="00607310" w:rsidP="00607310">
            <w:pPr>
              <w:spacing w:after="0" w:line="240" w:lineRule="auto"/>
              <w:rPr>
                <w:sz w:val="20"/>
                <w:szCs w:val="20"/>
              </w:rPr>
            </w:pPr>
            <w:r w:rsidRPr="00607310">
              <w:rPr>
                <w:sz w:val="20"/>
                <w:szCs w:val="20"/>
              </w:rPr>
              <w:t>Mantener una programación continua de la radio UnACh.</w:t>
            </w:r>
            <w:r>
              <w:rPr>
                <w:sz w:val="20"/>
                <w:szCs w:val="20"/>
              </w:rPr>
              <w:t xml:space="preserve"> (Vinculada a indicador N°106)</w:t>
            </w:r>
          </w:p>
        </w:tc>
        <w:tc>
          <w:tcPr>
            <w:tcW w:w="6838" w:type="dxa"/>
          </w:tcPr>
          <w:p w:rsidR="00607310" w:rsidRPr="008B79E6" w:rsidRDefault="00607310" w:rsidP="00607310">
            <w:pPr>
              <w:spacing w:after="0" w:line="240" w:lineRule="auto"/>
              <w:rPr>
                <w:b/>
              </w:rPr>
            </w:pPr>
          </w:p>
        </w:tc>
      </w:tr>
      <w:tr w:rsidR="00607310" w:rsidRPr="008B79E6" w:rsidTr="00607310">
        <w:tc>
          <w:tcPr>
            <w:tcW w:w="7054" w:type="dxa"/>
          </w:tcPr>
          <w:p w:rsidR="00607310" w:rsidRPr="00B10B1E" w:rsidRDefault="00607310" w:rsidP="006073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894D66">
              <w:rPr>
                <w:sz w:val="20"/>
                <w:szCs w:val="20"/>
              </w:rPr>
              <w:t xml:space="preserve"> Mantener informada permanentemente a toda la comunidad universitaria del  quehacer de la institución</w:t>
            </w:r>
            <w:r>
              <w:rPr>
                <w:sz w:val="20"/>
                <w:szCs w:val="20"/>
              </w:rPr>
              <w:t xml:space="preserve"> (Vinculada a indicador N°174)</w:t>
            </w:r>
          </w:p>
        </w:tc>
        <w:tc>
          <w:tcPr>
            <w:tcW w:w="6838" w:type="dxa"/>
          </w:tcPr>
          <w:p w:rsidR="00607310" w:rsidRPr="008B79E6" w:rsidRDefault="00607310" w:rsidP="00607310">
            <w:pPr>
              <w:spacing w:after="0" w:line="240" w:lineRule="auto"/>
              <w:rPr>
                <w:b/>
              </w:rPr>
            </w:pPr>
          </w:p>
        </w:tc>
      </w:tr>
      <w:tr w:rsidR="00607310" w:rsidRPr="008B79E6" w:rsidTr="00607310">
        <w:tc>
          <w:tcPr>
            <w:tcW w:w="7054" w:type="dxa"/>
          </w:tcPr>
          <w:p w:rsidR="00607310" w:rsidRPr="00B10B1E" w:rsidRDefault="00607310" w:rsidP="006073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894D66">
              <w:rPr>
                <w:sz w:val="20"/>
                <w:szCs w:val="20"/>
              </w:rPr>
              <w:t xml:space="preserve"> Mantener informada permanentemente a toda la comunidad universitaria del  quehacer de la institución</w:t>
            </w:r>
            <w:r>
              <w:rPr>
                <w:sz w:val="20"/>
                <w:szCs w:val="20"/>
              </w:rPr>
              <w:t xml:space="preserve"> (Vinculada a indicador N°175)</w:t>
            </w:r>
          </w:p>
        </w:tc>
        <w:tc>
          <w:tcPr>
            <w:tcW w:w="6838" w:type="dxa"/>
          </w:tcPr>
          <w:p w:rsidR="00607310" w:rsidRPr="008B79E6" w:rsidRDefault="00607310" w:rsidP="00607310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07310" w:rsidRDefault="00607310" w:rsidP="000F5D2E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07310" w:rsidRDefault="00607310" w:rsidP="000F5D2E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0F5D2E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0F5D2E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6D42F7" w:rsidP="005E7198">
      <w:pPr>
        <w:rPr>
          <w:rFonts w:asciiTheme="minorHAnsi" w:hAnsiTheme="minorHAnsi"/>
          <w:b/>
          <w:lang w:val="es-CL"/>
        </w:rPr>
      </w:pPr>
      <w:r w:rsidRPr="006D42F7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900069">
        <w:rPr>
          <w:rFonts w:asciiTheme="minorHAnsi" w:hAnsiTheme="minorHAnsi"/>
          <w:b/>
        </w:rPr>
        <w:t>4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</w:tbl>
    <w:p w:rsidR="000F5D2E" w:rsidRDefault="000F5D2E"/>
    <w:p w:rsidR="000F5D2E" w:rsidRDefault="000F5D2E"/>
    <w:p w:rsidR="000F5D2E" w:rsidRDefault="000F5D2E"/>
    <w:p w:rsidR="000F5D2E" w:rsidRDefault="000F5D2E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0F5D2E" w:rsidRDefault="000F5D2E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6D42F7" w:rsidP="005E7198">
      <w:pPr>
        <w:rPr>
          <w:rFonts w:asciiTheme="minorHAnsi" w:hAnsiTheme="minorHAnsi"/>
          <w:b/>
        </w:rPr>
      </w:pPr>
      <w:r w:rsidRPr="006D42F7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N°5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>
        <w:rPr>
          <w:rFonts w:asciiTheme="minorHAnsi" w:hAnsiTheme="minorHAnsi"/>
          <w:b/>
        </w:rPr>
        <w:t xml:space="preserve"> DE LA DIRECCIÓN DE</w:t>
      </w:r>
      <w:r w:rsidR="00607310">
        <w:rPr>
          <w:rFonts w:asciiTheme="minorHAnsi" w:hAnsiTheme="minorHAnsi"/>
          <w:b/>
        </w:rPr>
        <w:t xml:space="preserve"> COMUNICACIONES Y RELACIONES PÚBLICAS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N°6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0F5D2E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0F5D2E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0F5D2E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0F5D2E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0F5D2E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E1E" w:rsidRDefault="00185E1E" w:rsidP="00F321DC">
      <w:pPr>
        <w:spacing w:after="0" w:line="240" w:lineRule="auto"/>
      </w:pPr>
      <w:r>
        <w:separator/>
      </w:r>
    </w:p>
  </w:endnote>
  <w:endnote w:type="continuationSeparator" w:id="1">
    <w:p w:rsidR="00185E1E" w:rsidRDefault="00185E1E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A44D01" w:rsidRDefault="006D42F7">
        <w:pPr>
          <w:pStyle w:val="Piedepgina"/>
          <w:jc w:val="right"/>
        </w:pPr>
        <w:r>
          <w:fldChar w:fldCharType="begin"/>
        </w:r>
        <w:r w:rsidR="00A44D01">
          <w:instrText xml:space="preserve"> PAGE   \* MERGEFORMAT </w:instrText>
        </w:r>
        <w:r>
          <w:fldChar w:fldCharType="separate"/>
        </w:r>
        <w:r w:rsidR="00E903D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44D01" w:rsidRDefault="00A44D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E1E" w:rsidRDefault="00185E1E" w:rsidP="00F321DC">
      <w:pPr>
        <w:spacing w:after="0" w:line="240" w:lineRule="auto"/>
      </w:pPr>
      <w:r>
        <w:separator/>
      </w:r>
    </w:p>
  </w:footnote>
  <w:footnote w:type="continuationSeparator" w:id="1">
    <w:p w:rsidR="00185E1E" w:rsidRDefault="00185E1E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D01" w:rsidRDefault="00A44D01">
    <w:pPr>
      <w:pStyle w:val="Encabezado"/>
    </w:pPr>
  </w:p>
  <w:p w:rsidR="00A44D01" w:rsidRDefault="00A44D0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D01" w:rsidRDefault="00A44D01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44D01" w:rsidRDefault="00E903D2" w:rsidP="00AC3CE7">
    <w:pPr>
      <w:pStyle w:val="Encabezado"/>
      <w:spacing w:after="0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</w:t>
    </w:r>
    <w:r w:rsidR="00A44D01"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A44D01" w:rsidRPr="00AC3CE7" w:rsidRDefault="00A44D01" w:rsidP="00AC3CE7">
    <w:pPr>
      <w:pStyle w:val="Encabezado"/>
      <w:spacing w:after="0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034B6"/>
    <w:rsid w:val="00017E5E"/>
    <w:rsid w:val="00022504"/>
    <w:rsid w:val="00030CB8"/>
    <w:rsid w:val="000311EE"/>
    <w:rsid w:val="0003471B"/>
    <w:rsid w:val="000365E4"/>
    <w:rsid w:val="00044ABE"/>
    <w:rsid w:val="00053E65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5D2E"/>
    <w:rsid w:val="000F752A"/>
    <w:rsid w:val="001036B7"/>
    <w:rsid w:val="00110A88"/>
    <w:rsid w:val="00127071"/>
    <w:rsid w:val="00130EA9"/>
    <w:rsid w:val="00135FA1"/>
    <w:rsid w:val="00137AB5"/>
    <w:rsid w:val="00162967"/>
    <w:rsid w:val="00185E1E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D1AC6"/>
    <w:rsid w:val="003D696D"/>
    <w:rsid w:val="003F2716"/>
    <w:rsid w:val="003F4E9C"/>
    <w:rsid w:val="0040315D"/>
    <w:rsid w:val="00416E28"/>
    <w:rsid w:val="00431955"/>
    <w:rsid w:val="00446D6C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E269B"/>
    <w:rsid w:val="004E62A1"/>
    <w:rsid w:val="004E6A1D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07310"/>
    <w:rsid w:val="00630A68"/>
    <w:rsid w:val="006376F4"/>
    <w:rsid w:val="0064558F"/>
    <w:rsid w:val="00655918"/>
    <w:rsid w:val="00665501"/>
    <w:rsid w:val="006675EA"/>
    <w:rsid w:val="00694779"/>
    <w:rsid w:val="006976BF"/>
    <w:rsid w:val="006A30D1"/>
    <w:rsid w:val="006B50CF"/>
    <w:rsid w:val="006D42F7"/>
    <w:rsid w:val="006D5940"/>
    <w:rsid w:val="006F0CD6"/>
    <w:rsid w:val="006F0EF0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0D0A"/>
    <w:rsid w:val="00835E81"/>
    <w:rsid w:val="008544A8"/>
    <w:rsid w:val="00872C7F"/>
    <w:rsid w:val="0089017A"/>
    <w:rsid w:val="008B79E6"/>
    <w:rsid w:val="008C3F6C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360EA"/>
    <w:rsid w:val="00A44D01"/>
    <w:rsid w:val="00A56AFB"/>
    <w:rsid w:val="00A56C4C"/>
    <w:rsid w:val="00A62CA9"/>
    <w:rsid w:val="00A82CAD"/>
    <w:rsid w:val="00AA3E31"/>
    <w:rsid w:val="00AB3FF1"/>
    <w:rsid w:val="00AC0D24"/>
    <w:rsid w:val="00AC3CE7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F79F9"/>
    <w:rsid w:val="00BF7FF8"/>
    <w:rsid w:val="00C02A51"/>
    <w:rsid w:val="00C21475"/>
    <w:rsid w:val="00C42563"/>
    <w:rsid w:val="00C623B4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03D2"/>
    <w:rsid w:val="00E91E3D"/>
    <w:rsid w:val="00E94613"/>
    <w:rsid w:val="00EA58C1"/>
    <w:rsid w:val="00EA6407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>
            <a:solidFill>
              <a:schemeClr val="tx1"/>
            </a:solidFill>
            <a:latin typeface="+mn-lt"/>
          </a:endParaRP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IV.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57205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7512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EA23CC19-7C93-4FB8-B9BC-DB9D205E334D}" type="presOf" srcId="{C1EAD699-C332-4768-9340-40BA75436597}" destId="{91D06AA7-979D-43BF-B212-107FACA35ABA}" srcOrd="0" destOrd="0" presId="urn:microsoft.com/office/officeart/2005/8/layout/vList4#2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DAE614DF-4313-4D85-9C7B-D1359CD26C3B}" type="presOf" srcId="{F9C1ABE1-9CC1-4B98-9F18-448C386F07BB}" destId="{D7C1CED6-C28A-44AA-A56E-8BF9F93A5C63}" srcOrd="0" destOrd="0" presId="urn:microsoft.com/office/officeart/2005/8/layout/vList4#2"/>
    <dgm:cxn modelId="{3F141082-D3C4-4318-A37A-02974136C34F}" type="presOf" srcId="{9AB012B8-2013-450E-9838-0C28222136BD}" destId="{E6F352DB-CD87-4918-9AD7-E42C47D5DCDD}" srcOrd="1" destOrd="1" presId="urn:microsoft.com/office/officeart/2005/8/layout/vList4#2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4232AF80-3BFD-4364-B5B3-F39AA0C5C320}" type="presOf" srcId="{9AB012B8-2013-450E-9838-0C28222136BD}" destId="{91D06AA7-979D-43BF-B212-107FACA35ABA}" srcOrd="0" destOrd="1" presId="urn:microsoft.com/office/officeart/2005/8/layout/vList4#2"/>
    <dgm:cxn modelId="{09055676-E95C-492C-B9BB-6FB3FD17EA7F}" type="presOf" srcId="{7D736F56-5E7C-4165-A439-DB85FF57B667}" destId="{881537AB-96C8-465C-B9F2-F14F4D5B2C60}" srcOrd="0" destOrd="0" presId="urn:microsoft.com/office/officeart/2005/8/layout/vList4#2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8763E451-B136-43CD-A560-BC3789DB5860}" type="presOf" srcId="{7D736F56-5E7C-4165-A439-DB85FF57B667}" destId="{0F1D83A8-E96B-4ED1-86DB-8974815ECD30}" srcOrd="1" destOrd="0" presId="urn:microsoft.com/office/officeart/2005/8/layout/vList4#2"/>
    <dgm:cxn modelId="{098C783D-EACB-44C6-A0D8-3192E02AB128}" type="presOf" srcId="{C1EAD699-C332-4768-9340-40BA75436597}" destId="{E6F352DB-CD87-4918-9AD7-E42C47D5DCDD}" srcOrd="1" destOrd="0" presId="urn:microsoft.com/office/officeart/2005/8/layout/vList4#2"/>
    <dgm:cxn modelId="{18BD39BA-23DA-433C-B6FD-6525EF1280EE}" type="presOf" srcId="{6AA3FB31-4991-444D-A81C-0248C1DD88DC}" destId="{99B4252B-8A91-4748-9825-EE88056880A2}" srcOrd="0" destOrd="0" presId="urn:microsoft.com/office/officeart/2005/8/layout/vList4#2"/>
    <dgm:cxn modelId="{42466ABE-4A47-4962-97BC-86D2FDE736D3}" type="presOf" srcId="{F9C1ABE1-9CC1-4B98-9F18-448C386F07BB}" destId="{9AEAC8AE-0E2F-4013-B60E-3514410A1D49}" srcOrd="1" destOrd="0" presId="urn:microsoft.com/office/officeart/2005/8/layout/vList4#2"/>
    <dgm:cxn modelId="{2416B711-5E9B-4B6A-B705-37FF8FEE9B84}" type="presParOf" srcId="{99B4252B-8A91-4748-9825-EE88056880A2}" destId="{18D71F07-69E2-4CBD-9C2B-B76CB06075E4}" srcOrd="0" destOrd="0" presId="urn:microsoft.com/office/officeart/2005/8/layout/vList4#2"/>
    <dgm:cxn modelId="{6B0619A1-1B7B-44AD-B519-09EC1188FF93}" type="presParOf" srcId="{18D71F07-69E2-4CBD-9C2B-B76CB06075E4}" destId="{91D06AA7-979D-43BF-B212-107FACA35ABA}" srcOrd="0" destOrd="0" presId="urn:microsoft.com/office/officeart/2005/8/layout/vList4#2"/>
    <dgm:cxn modelId="{D74C63B0-E634-4878-877C-35D7647E2517}" type="presParOf" srcId="{18D71F07-69E2-4CBD-9C2B-B76CB06075E4}" destId="{35BD51C7-13ED-46EC-99EB-69C6A5C7F517}" srcOrd="1" destOrd="0" presId="urn:microsoft.com/office/officeart/2005/8/layout/vList4#2"/>
    <dgm:cxn modelId="{3A899CD8-573B-4487-82E3-A12432D2B068}" type="presParOf" srcId="{18D71F07-69E2-4CBD-9C2B-B76CB06075E4}" destId="{E6F352DB-CD87-4918-9AD7-E42C47D5DCDD}" srcOrd="2" destOrd="0" presId="urn:microsoft.com/office/officeart/2005/8/layout/vList4#2"/>
    <dgm:cxn modelId="{70B942D1-13A6-4480-BAF1-F70101A1DC4C}" type="presParOf" srcId="{99B4252B-8A91-4748-9825-EE88056880A2}" destId="{25D340C1-1622-45D0-80D0-BE9A0913DD9F}" srcOrd="1" destOrd="0" presId="urn:microsoft.com/office/officeart/2005/8/layout/vList4#2"/>
    <dgm:cxn modelId="{8126585A-1A49-4364-9CBF-03CA6DDEDF1B}" type="presParOf" srcId="{99B4252B-8A91-4748-9825-EE88056880A2}" destId="{BA1BFBF2-4F25-435A-8168-D27DD89DBDA9}" srcOrd="2" destOrd="0" presId="urn:microsoft.com/office/officeart/2005/8/layout/vList4#2"/>
    <dgm:cxn modelId="{F644DA72-145C-420B-8A15-7D97B70E4C76}" type="presParOf" srcId="{BA1BFBF2-4F25-435A-8168-D27DD89DBDA9}" destId="{881537AB-96C8-465C-B9F2-F14F4D5B2C60}" srcOrd="0" destOrd="0" presId="urn:microsoft.com/office/officeart/2005/8/layout/vList4#2"/>
    <dgm:cxn modelId="{9A23379E-59EF-4D7D-97C2-C01DFBDE8984}" type="presParOf" srcId="{BA1BFBF2-4F25-435A-8168-D27DD89DBDA9}" destId="{4FA255E2-8701-4F4E-995A-B6AF0629C9A7}" srcOrd="1" destOrd="0" presId="urn:microsoft.com/office/officeart/2005/8/layout/vList4#2"/>
    <dgm:cxn modelId="{01FA90DA-177D-4E4F-B3AF-F88E29CB30BF}" type="presParOf" srcId="{BA1BFBF2-4F25-435A-8168-D27DD89DBDA9}" destId="{0F1D83A8-E96B-4ED1-86DB-8974815ECD30}" srcOrd="2" destOrd="0" presId="urn:microsoft.com/office/officeart/2005/8/layout/vList4#2"/>
    <dgm:cxn modelId="{4B0BE038-8B16-4D27-BDF0-BE8CF2B70461}" type="presParOf" srcId="{99B4252B-8A91-4748-9825-EE88056880A2}" destId="{D747FC36-A6F5-4493-8FCA-3E90F496E8C8}" srcOrd="3" destOrd="0" presId="urn:microsoft.com/office/officeart/2005/8/layout/vList4#2"/>
    <dgm:cxn modelId="{AFFEE667-8599-40D8-8212-16E06498ED7D}" type="presParOf" srcId="{99B4252B-8A91-4748-9825-EE88056880A2}" destId="{93142622-88A7-4214-9224-299B0A579FEF}" srcOrd="4" destOrd="0" presId="urn:microsoft.com/office/officeart/2005/8/layout/vList4#2"/>
    <dgm:cxn modelId="{2C7101E4-DE69-4488-9666-A03003BA522A}" type="presParOf" srcId="{93142622-88A7-4214-9224-299B0A579FEF}" destId="{D7C1CED6-C28A-44AA-A56E-8BF9F93A5C63}" srcOrd="0" destOrd="0" presId="urn:microsoft.com/office/officeart/2005/8/layout/vList4#2"/>
    <dgm:cxn modelId="{327F8A51-C045-4DD2-986C-97A822355BC0}" type="presParOf" srcId="{93142622-88A7-4214-9224-299B0A579FEF}" destId="{2696C48F-B82C-47DA-BF9F-BEF13567D525}" srcOrd="1" destOrd="0" presId="urn:microsoft.com/office/officeart/2005/8/layout/vList4#2"/>
    <dgm:cxn modelId="{F3D1E1D4-05EB-4188-8931-2A400243393E}" type="presParOf" srcId="{93142622-88A7-4214-9224-299B0A579FEF}" destId="{9AEAC8AE-0E2F-4013-B60E-3514410A1D49}" srcOrd="2" destOrd="0" presId="urn:microsoft.com/office/officeart/2005/8/layout/vList4#2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34486"/>
          <a:ext cx="8258175" cy="136363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90012" y="34486"/>
        <a:ext cx="6368162" cy="1363636"/>
      </dsp:txXfrm>
    </dsp:sp>
    <dsp:sp modelId="{35BD51C7-13ED-46EC-99EB-69C6A5C7F517}">
      <dsp:nvSpPr>
        <dsp:cNvPr id="0" name=""/>
        <dsp:cNvSpPr/>
      </dsp:nvSpPr>
      <dsp:spPr>
        <a:xfrm>
          <a:off x="238377" y="0"/>
          <a:ext cx="1651635" cy="143260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711714"/>
          <a:ext cx="8258175" cy="12936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90012" y="1711714"/>
        <a:ext cx="6368162" cy="1293672"/>
      </dsp:txXfrm>
    </dsp:sp>
    <dsp:sp modelId="{4FA255E2-8701-4F4E-995A-B6AF0629C9A7}">
      <dsp:nvSpPr>
        <dsp:cNvPr id="0" name=""/>
        <dsp:cNvSpPr/>
      </dsp:nvSpPr>
      <dsp:spPr>
        <a:xfrm>
          <a:off x="238377" y="1670985"/>
          <a:ext cx="1651635" cy="137513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357457"/>
          <a:ext cx="8258175" cy="134985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90012" y="3357457"/>
        <a:ext cx="6368162" cy="1349857"/>
      </dsp:txXfrm>
    </dsp:sp>
    <dsp:sp modelId="{2696C48F-B82C-47DA-BF9F-BEF13567D525}">
      <dsp:nvSpPr>
        <dsp:cNvPr id="0" name=""/>
        <dsp:cNvSpPr/>
      </dsp:nvSpPr>
      <dsp:spPr>
        <a:xfrm>
          <a:off x="333379" y="3284492"/>
          <a:ext cx="1461630" cy="149578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2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18</Pages>
  <Words>2162</Words>
  <Characters>11896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94</cp:revision>
  <cp:lastPrinted>2012-12-17T12:25:00Z</cp:lastPrinted>
  <dcterms:created xsi:type="dcterms:W3CDTF">2012-01-25T14:17:00Z</dcterms:created>
  <dcterms:modified xsi:type="dcterms:W3CDTF">2012-12-17T12:26:00Z</dcterms:modified>
</cp:coreProperties>
</file>