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0F7D42">
        <w:rPr>
          <w:color w:val="000000" w:themeColor="text1"/>
          <w:sz w:val="28"/>
          <w:szCs w:val="28"/>
          <w:lang w:val="es-CL"/>
        </w:rPr>
        <w:t>Bienestar Estudiantil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5C6698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5C6698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789" w:type="pct"/>
        <w:tblLook w:val="04A0"/>
      </w:tblPr>
      <w:tblGrid>
        <w:gridCol w:w="2619"/>
        <w:gridCol w:w="3158"/>
        <w:gridCol w:w="2696"/>
        <w:gridCol w:w="2268"/>
        <w:gridCol w:w="1559"/>
        <w:gridCol w:w="1699"/>
      </w:tblGrid>
      <w:tr w:rsidR="00726D0E" w:rsidRPr="00500D95" w:rsidTr="00726D0E">
        <w:trPr>
          <w:cnfStyle w:val="100000000000"/>
          <w:trHeight w:val="340"/>
        </w:trPr>
        <w:tc>
          <w:tcPr>
            <w:cnfStyle w:val="001000000000"/>
            <w:tcW w:w="935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128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63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810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57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607" w:type="pct"/>
            <w:shd w:val="clear" w:color="auto" w:fill="8DB3E2" w:themeFill="text2" w:themeFillTint="66"/>
          </w:tcPr>
          <w:p w:rsidR="00726D0E" w:rsidRPr="00500D95" w:rsidRDefault="00726D0E" w:rsidP="002375C3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500D95">
              <w:rPr>
                <w:rFonts w:asciiTheme="minorHAnsi" w:hAnsiTheme="minorHAnsi" w:cs="Calibri"/>
              </w:rPr>
              <w:t>Nivel de Logro</w:t>
            </w:r>
          </w:p>
        </w:tc>
      </w:tr>
      <w:tr w:rsidR="00726D0E" w:rsidRPr="00500D95" w:rsidTr="00726D0E">
        <w:trPr>
          <w:cnfStyle w:val="000000100000"/>
          <w:trHeight w:val="850"/>
        </w:trPr>
        <w:tc>
          <w:tcPr>
            <w:cnfStyle w:val="001000000000"/>
            <w:tcW w:w="935" w:type="pct"/>
          </w:tcPr>
          <w:p w:rsidR="00726D0E" w:rsidRPr="00500D95" w:rsidRDefault="00726D0E" w:rsidP="002375C3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500D95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128" w:type="pct"/>
          </w:tcPr>
          <w:p w:rsidR="00726D0E" w:rsidRPr="00500D95" w:rsidRDefault="00726D0E" w:rsidP="002375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00D9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63" w:type="pct"/>
          </w:tcPr>
          <w:p w:rsidR="00726D0E" w:rsidRPr="00500D95" w:rsidRDefault="00726D0E" w:rsidP="002375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00D9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810" w:type="pct"/>
          </w:tcPr>
          <w:p w:rsidR="00726D0E" w:rsidRPr="00500D95" w:rsidRDefault="00726D0E" w:rsidP="002375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00D9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557" w:type="pct"/>
          </w:tcPr>
          <w:p w:rsidR="00726D0E" w:rsidRPr="00500D95" w:rsidRDefault="00726D0E" w:rsidP="002375C3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00D9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607" w:type="pct"/>
          </w:tcPr>
          <w:p w:rsidR="00726D0E" w:rsidRPr="00500D95" w:rsidRDefault="00726D0E" w:rsidP="002375C3">
            <w:pPr>
              <w:cnfStyle w:val="000000100000"/>
              <w:rPr>
                <w:rFonts w:asciiTheme="minorHAnsi" w:hAnsiTheme="minorHAnsi"/>
              </w:rPr>
            </w:pPr>
          </w:p>
        </w:tc>
      </w:tr>
    </w:tbl>
    <w:p w:rsidR="00AC7B70" w:rsidRDefault="00AC7B70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Default="00E932C9" w:rsidP="00AC7B70"/>
    <w:p w:rsidR="00E932C9" w:rsidRPr="00934BF5" w:rsidRDefault="00E932C9" w:rsidP="00AC7B70"/>
    <w:p w:rsidR="00DF661B" w:rsidRDefault="00DF661B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75" w:tblpY="45"/>
        <w:tblW w:w="13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30"/>
        <w:gridCol w:w="6695"/>
      </w:tblGrid>
      <w:tr w:rsidR="00E932C9" w:rsidRPr="00500D95" w:rsidTr="00E932C9">
        <w:tc>
          <w:tcPr>
            <w:tcW w:w="7230" w:type="dxa"/>
            <w:shd w:val="clear" w:color="auto" w:fill="8DB3E2" w:themeFill="text2" w:themeFillTint="66"/>
          </w:tcPr>
          <w:p w:rsidR="00E932C9" w:rsidRPr="00500D95" w:rsidRDefault="00E932C9" w:rsidP="00E932C9">
            <w:pPr>
              <w:spacing w:after="0" w:line="240" w:lineRule="auto"/>
              <w:jc w:val="center"/>
              <w:rPr>
                <w:b/>
              </w:rPr>
            </w:pPr>
            <w:r w:rsidRPr="00500D95">
              <w:rPr>
                <w:b/>
              </w:rPr>
              <w:t xml:space="preserve">Metas  </w:t>
            </w:r>
          </w:p>
        </w:tc>
        <w:tc>
          <w:tcPr>
            <w:tcW w:w="6695" w:type="dxa"/>
            <w:shd w:val="clear" w:color="auto" w:fill="8DB3E2" w:themeFill="text2" w:themeFillTint="66"/>
          </w:tcPr>
          <w:p w:rsidR="00E932C9" w:rsidRPr="00500D95" w:rsidRDefault="00E932C9" w:rsidP="00E932C9">
            <w:pPr>
              <w:spacing w:after="0" w:line="240" w:lineRule="auto"/>
              <w:jc w:val="center"/>
              <w:rPr>
                <w:b/>
              </w:rPr>
            </w:pPr>
            <w:r w:rsidRPr="00500D95">
              <w:rPr>
                <w:b/>
              </w:rPr>
              <w:t>Nivel de logro(L,ML,NL)</w:t>
            </w: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 Disponer de orientación psicológica y pastoral permanente para todo el alumnado  a partir de marzo del 2013 ( vinculada a indicador N°59)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E932C9">
              <w:rPr>
                <w:b/>
              </w:rPr>
              <w:t>Responsable</w:t>
            </w:r>
            <w:r w:rsidR="00ED435B">
              <w:t>y fuente</w:t>
            </w:r>
            <w:r w:rsidRPr="00E932C9">
              <w:rPr>
                <w:b/>
              </w:rPr>
              <w:t>:</w:t>
            </w:r>
            <w:r w:rsidRPr="00E932C9">
              <w:t>Coordinar actividades de extensión</w:t>
            </w:r>
            <w:r>
              <w:t xml:space="preserve">  ( vinculada a indicador N°90b</w:t>
            </w:r>
            <w:r w:rsidRPr="00500D95">
              <w:t>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Contratar servicio de ambulancia para el traslado de alumnos accidentados a partir del primer semestre 2013.  (vinculada a indicador N°202)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Mantener a lo menos siete talleres de recreación y esparcimiento para alumnos internos y externos a partir de marzo de 2012</w:t>
            </w:r>
            <w:r w:rsidRPr="00500D95">
              <w:rPr>
                <w:rFonts w:asciiTheme="minorHAnsi" w:hAnsiTheme="minorHAnsi"/>
              </w:rPr>
              <w:t xml:space="preserve">. </w:t>
            </w:r>
            <w:r w:rsidRPr="00500D95">
              <w:t>(vinculada a indicador N°206)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Capacitar anualmente a la totalidad de preceptores (as) en resolución de conflictos, a partir del 2012. (vinculada a indicador N°209)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Aumentar la cantidad de preceptores de 4 a 6, que atiendan las necesidades de los alumnos (as) residentes a partir de agosto de 2012. (vinculada a indicador N°210)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  <w:tr w:rsidR="00E932C9" w:rsidRPr="00500D95" w:rsidTr="00E932C9">
        <w:tc>
          <w:tcPr>
            <w:tcW w:w="7230" w:type="dxa"/>
          </w:tcPr>
          <w:p w:rsidR="00E932C9" w:rsidRPr="00500D95" w:rsidRDefault="00E932C9" w:rsidP="00E932C9">
            <w:pPr>
              <w:spacing w:after="0" w:line="240" w:lineRule="auto"/>
            </w:pPr>
            <w:r w:rsidRPr="00500D95">
              <w:t>Fuente: Difundir a través de página web, informativos, murales los horarios y tipo de atención de los servicios de apoyo. (vinculada a indicador N°211)</w:t>
            </w:r>
          </w:p>
        </w:tc>
        <w:tc>
          <w:tcPr>
            <w:tcW w:w="6695" w:type="dxa"/>
          </w:tcPr>
          <w:p w:rsidR="00E932C9" w:rsidRPr="00500D95" w:rsidRDefault="00E932C9" w:rsidP="00E932C9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932C9" w:rsidRDefault="00E932C9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932C9" w:rsidRDefault="00E932C9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932C9" w:rsidRDefault="00E932C9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4D393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D3934" w:rsidRDefault="004D3934" w:rsidP="004D3934">
      <w:pPr>
        <w:spacing w:after="0"/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4D393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4D393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9"/>
        <w:gridCol w:w="4252"/>
        <w:gridCol w:w="1983"/>
        <w:gridCol w:w="1704"/>
        <w:gridCol w:w="2268"/>
        <w:gridCol w:w="1522"/>
      </w:tblGrid>
      <w:tr w:rsidR="004D3934" w:rsidRPr="000365E4" w:rsidTr="005F24E9">
        <w:tc>
          <w:tcPr>
            <w:tcW w:w="884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492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696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98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796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534" w:type="pct"/>
            <w:shd w:val="clear" w:color="auto" w:fill="8DB3E2" w:themeFill="text2" w:themeFillTint="66"/>
          </w:tcPr>
          <w:p w:rsidR="004D3934" w:rsidRPr="000365E4" w:rsidRDefault="004D3934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305B91" w:rsidRPr="000365E4" w:rsidTr="005F24E9">
        <w:trPr>
          <w:trHeight w:val="270"/>
        </w:trPr>
        <w:tc>
          <w:tcPr>
            <w:tcW w:w="884" w:type="pct"/>
            <w:vMerge w:val="restart"/>
            <w:shd w:val="clear" w:color="auto" w:fill="auto"/>
          </w:tcPr>
          <w:p w:rsidR="00305B91" w:rsidRPr="000365E4" w:rsidRDefault="00305B91" w:rsidP="008708A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F0A33">
              <w:rPr>
                <w:rFonts w:eastAsia="Cambria"/>
                <w:b/>
              </w:rPr>
              <w:t>Criterio 9:  Servicios Estudiantiles</w:t>
            </w:r>
          </w:p>
        </w:tc>
        <w:tc>
          <w:tcPr>
            <w:tcW w:w="1492" w:type="pct"/>
            <w:vMerge w:val="restar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26D0E">
              <w:rPr>
                <w:rFonts w:asciiTheme="minorHAnsi" w:hAnsiTheme="minorHAnsi" w:cstheme="minorHAnsi"/>
              </w:rPr>
              <w:t>1-</w:t>
            </w:r>
            <w:r>
              <w:rPr>
                <w:rFonts w:eastAsia="Cambria"/>
              </w:rPr>
              <w:t>La administración, Vicerre</w:t>
            </w:r>
            <w:r w:rsidRPr="00726D0E">
              <w:rPr>
                <w:rFonts w:eastAsia="Cambria"/>
              </w:rPr>
              <w:t>toría de Desarrollo Estudiantil provean capacitación sistemática, actualizada y especializada al personal de bienestar estudiantil, particularmente al grupo de preceptores.(Autoevaluación Pág. 157, entrevistas).</w:t>
            </w:r>
          </w:p>
        </w:tc>
        <w:tc>
          <w:tcPr>
            <w:tcW w:w="696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Plan de capacitación</w:t>
            </w:r>
          </w:p>
          <w:p w:rsidR="00305B91" w:rsidRPr="00726D0E" w:rsidRDefault="00305B91" w:rsidP="002375C3">
            <w:pPr>
              <w:spacing w:after="0" w:line="240" w:lineRule="auto"/>
            </w:pPr>
          </w:p>
          <w:p w:rsidR="00305B91" w:rsidRPr="00726D0E" w:rsidRDefault="00305B91" w:rsidP="002375C3">
            <w:pPr>
              <w:spacing w:after="0" w:line="240" w:lineRule="auto"/>
            </w:pPr>
          </w:p>
        </w:tc>
        <w:tc>
          <w:tcPr>
            <w:tcW w:w="598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Marzo 2013</w:t>
            </w:r>
          </w:p>
        </w:tc>
        <w:tc>
          <w:tcPr>
            <w:tcW w:w="796" w:type="pct"/>
            <w:vMerge w:val="restart"/>
            <w:shd w:val="clear" w:color="auto" w:fill="auto"/>
          </w:tcPr>
          <w:p w:rsidR="00305B91" w:rsidRPr="00726D0E" w:rsidRDefault="00305B91" w:rsidP="004D3934">
            <w:pPr>
              <w:spacing w:after="0" w:line="240" w:lineRule="auto"/>
            </w:pPr>
            <w:r w:rsidRPr="00726D0E">
              <w:t>-Vicerrector Desarrollo Estudiantil</w:t>
            </w:r>
          </w:p>
          <w:p w:rsidR="00305B91" w:rsidRPr="00726D0E" w:rsidRDefault="00305B91" w:rsidP="004D3934">
            <w:pPr>
              <w:spacing w:after="0" w:line="240" w:lineRule="auto"/>
            </w:pPr>
            <w:r w:rsidRPr="00726D0E">
              <w:t>-Dirección de Bienestar Estudiantil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5B91" w:rsidRPr="000365E4" w:rsidTr="005F24E9">
        <w:trPr>
          <w:trHeight w:val="270"/>
        </w:trPr>
        <w:tc>
          <w:tcPr>
            <w:tcW w:w="884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492" w:type="pct"/>
            <w:vMerge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96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N° de capacitaciones anuales</w:t>
            </w:r>
          </w:p>
        </w:tc>
        <w:tc>
          <w:tcPr>
            <w:tcW w:w="598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A partir del año 2013</w:t>
            </w:r>
          </w:p>
        </w:tc>
        <w:tc>
          <w:tcPr>
            <w:tcW w:w="796" w:type="pct"/>
            <w:vMerge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</w:p>
        </w:tc>
        <w:tc>
          <w:tcPr>
            <w:tcW w:w="534" w:type="pct"/>
            <w:vMerge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5B91" w:rsidRPr="000365E4" w:rsidTr="005F24E9">
        <w:trPr>
          <w:trHeight w:val="1883"/>
        </w:trPr>
        <w:tc>
          <w:tcPr>
            <w:tcW w:w="884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492" w:type="pct"/>
            <w:vMerge w:val="restar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305B91">
              <w:rPr>
                <w:rFonts w:eastAsia="Cambria"/>
                <w:i/>
                <w:color w:val="FF0000"/>
              </w:rPr>
              <w:t>CONFIRMAR NÚMERO</w:t>
            </w:r>
            <w:r w:rsidRPr="005F0A33">
              <w:rPr>
                <w:rFonts w:eastAsia="Cambria"/>
                <w:i/>
              </w:rPr>
              <w:t xml:space="preserve">La administración y Vicerrectoría de Desarrollo Estudiantil </w:t>
            </w:r>
            <w:r w:rsidRPr="005F0A33">
              <w:rPr>
                <w:rFonts w:eastAsia="Cambria"/>
              </w:rPr>
              <w:t>mejoren los alimentos en cuanto a variedad, valor nutritivo, combinación, sabor, presentación; además, incrementar los equipos en el servicio de lavandería de las residencias estudiantiles.</w:t>
            </w:r>
            <w:r>
              <w:rPr>
                <w:rFonts w:eastAsia="Cambria"/>
              </w:rPr>
              <w:t xml:space="preserve">( Modernización  de equipamiento de lavandería) </w:t>
            </w:r>
            <w:r w:rsidRPr="005F0A33">
              <w:rPr>
                <w:rFonts w:eastAsia="Cambria"/>
              </w:rPr>
              <w:t xml:space="preserve"> (Autoestudio pág.53, resultados de encuestas estudiantes, entrevista a estudiantes).</w:t>
            </w:r>
          </w:p>
        </w:tc>
        <w:tc>
          <w:tcPr>
            <w:tcW w:w="696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 w:rsidRPr="005F0A33">
              <w:t>Resultados de encuesta de satisfacción sobre la alimentación</w:t>
            </w:r>
          </w:p>
          <w:p w:rsidR="00305B91" w:rsidRPr="005F0A33" w:rsidRDefault="00305B91" w:rsidP="00AD4DBC">
            <w:pPr>
              <w:spacing w:after="0" w:line="240" w:lineRule="auto"/>
            </w:pPr>
          </w:p>
        </w:tc>
        <w:tc>
          <w:tcPr>
            <w:tcW w:w="598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 w:rsidRPr="005F0A33">
              <w:t>Marzo y diciembre de cada año, a partir de 2013</w:t>
            </w:r>
            <w:r>
              <w:t>.</w:t>
            </w:r>
          </w:p>
        </w:tc>
        <w:tc>
          <w:tcPr>
            <w:tcW w:w="796" w:type="pct"/>
            <w:vMerge w:val="restart"/>
            <w:shd w:val="clear" w:color="auto" w:fill="auto"/>
          </w:tcPr>
          <w:p w:rsidR="00305B91" w:rsidRDefault="00305B91" w:rsidP="00305B91">
            <w:pPr>
              <w:spacing w:after="0" w:line="240" w:lineRule="auto"/>
            </w:pPr>
            <w:r>
              <w:t>-</w:t>
            </w:r>
            <w:r w:rsidRPr="005F0A33">
              <w:t>Vicerrector Desarrol</w:t>
            </w:r>
            <w:r>
              <w:t>lo Estudiantil</w:t>
            </w:r>
          </w:p>
          <w:p w:rsidR="00305B91" w:rsidRPr="005F0A33" w:rsidRDefault="00305B91" w:rsidP="00305B91">
            <w:pPr>
              <w:spacing w:after="0" w:line="240" w:lineRule="auto"/>
            </w:pPr>
            <w:r>
              <w:t>-</w:t>
            </w:r>
            <w:r w:rsidRPr="005F0A33">
              <w:t>Director de Alimentación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5B91" w:rsidRPr="000365E4" w:rsidTr="005F24E9">
        <w:trPr>
          <w:trHeight w:val="938"/>
        </w:trPr>
        <w:tc>
          <w:tcPr>
            <w:tcW w:w="884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492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rPr>
                <w:rFonts w:eastAsia="Cambria"/>
                <w:i/>
              </w:rPr>
            </w:pPr>
          </w:p>
        </w:tc>
        <w:tc>
          <w:tcPr>
            <w:tcW w:w="696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>
              <w:t xml:space="preserve">Nuevo equipos  adquiridos </w:t>
            </w:r>
          </w:p>
        </w:tc>
        <w:tc>
          <w:tcPr>
            <w:tcW w:w="598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>
              <w:t xml:space="preserve">Abril </w:t>
            </w:r>
            <w:r w:rsidRPr="005F0A33">
              <w:t xml:space="preserve"> 2013</w:t>
            </w:r>
          </w:p>
        </w:tc>
        <w:tc>
          <w:tcPr>
            <w:tcW w:w="796" w:type="pct"/>
            <w:vMerge/>
            <w:shd w:val="clear" w:color="auto" w:fill="auto"/>
          </w:tcPr>
          <w:p w:rsidR="00305B91" w:rsidRPr="005F0A33" w:rsidRDefault="00305B91" w:rsidP="00305B91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34" w:type="pct"/>
            <w:vMerge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5B91" w:rsidRPr="000365E4" w:rsidTr="005F24E9">
        <w:trPr>
          <w:trHeight w:val="594"/>
        </w:trPr>
        <w:tc>
          <w:tcPr>
            <w:tcW w:w="884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492" w:type="pct"/>
            <w:vMerge/>
            <w:shd w:val="clear" w:color="auto" w:fill="auto"/>
          </w:tcPr>
          <w:p w:rsidR="00305B91" w:rsidRPr="005F0A33" w:rsidRDefault="00305B91" w:rsidP="002375C3">
            <w:pPr>
              <w:spacing w:after="0" w:line="240" w:lineRule="auto"/>
              <w:rPr>
                <w:rFonts w:eastAsia="Cambria"/>
                <w:i/>
              </w:rPr>
            </w:pPr>
          </w:p>
        </w:tc>
        <w:tc>
          <w:tcPr>
            <w:tcW w:w="696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 w:rsidRPr="005F0A33">
              <w:t>Plan implementado</w:t>
            </w:r>
          </w:p>
        </w:tc>
        <w:tc>
          <w:tcPr>
            <w:tcW w:w="598" w:type="pct"/>
            <w:shd w:val="clear" w:color="auto" w:fill="auto"/>
          </w:tcPr>
          <w:p w:rsidR="00305B91" w:rsidRPr="005F0A33" w:rsidRDefault="00305B91" w:rsidP="00AD4DBC">
            <w:pPr>
              <w:spacing w:after="0" w:line="240" w:lineRule="auto"/>
            </w:pPr>
            <w:r w:rsidRPr="005F0A33">
              <w:t>A partir del 2° Semestre 2013</w:t>
            </w:r>
          </w:p>
        </w:tc>
        <w:tc>
          <w:tcPr>
            <w:tcW w:w="796" w:type="pct"/>
            <w:vMerge/>
            <w:shd w:val="clear" w:color="auto" w:fill="auto"/>
          </w:tcPr>
          <w:p w:rsidR="00305B91" w:rsidRPr="005F0A33" w:rsidRDefault="00305B91" w:rsidP="00305B91">
            <w:pPr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534" w:type="pct"/>
            <w:vMerge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05B91" w:rsidRPr="000365E4" w:rsidTr="005F24E9">
        <w:trPr>
          <w:trHeight w:val="270"/>
        </w:trPr>
        <w:tc>
          <w:tcPr>
            <w:tcW w:w="884" w:type="pct"/>
            <w:shd w:val="clear" w:color="auto" w:fill="auto"/>
          </w:tcPr>
          <w:p w:rsidR="00305B91" w:rsidRPr="005F0A33" w:rsidRDefault="00305B91" w:rsidP="008708AD">
            <w:pPr>
              <w:spacing w:after="0" w:line="240" w:lineRule="auto"/>
              <w:rPr>
                <w:rFonts w:eastAsia="Cambria"/>
                <w:b/>
              </w:rPr>
            </w:pPr>
            <w:r w:rsidRPr="005F0A33">
              <w:rPr>
                <w:rFonts w:eastAsia="Cambria"/>
                <w:b/>
              </w:rPr>
              <w:t>Criterio 11: Relaciones públicas, y reclutamiento y seguimiento de estudiantes</w:t>
            </w:r>
          </w:p>
        </w:tc>
        <w:tc>
          <w:tcPr>
            <w:tcW w:w="1492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26D0E">
              <w:rPr>
                <w:rFonts w:asciiTheme="minorHAnsi" w:hAnsiTheme="minorHAnsi" w:cstheme="minorHAnsi"/>
              </w:rPr>
              <w:t>1-</w:t>
            </w:r>
            <w:r w:rsidRPr="00726D0E">
              <w:rPr>
                <w:rFonts w:eastAsia="Cambria"/>
              </w:rPr>
              <w:t xml:space="preserve"> La Administración y la Dirección Extensión y Educación Contínua desarrollen estrategias focalizadas en buscar alumnos que califiquen para ser beneficiados con becas del Gobierno. (Entrevistas).</w:t>
            </w:r>
          </w:p>
        </w:tc>
        <w:tc>
          <w:tcPr>
            <w:tcW w:w="696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N° de alumnos postulantes a becas de gobierno</w:t>
            </w:r>
          </w:p>
        </w:tc>
        <w:tc>
          <w:tcPr>
            <w:tcW w:w="598" w:type="pct"/>
            <w:shd w:val="clear" w:color="auto" w:fill="auto"/>
          </w:tcPr>
          <w:p w:rsidR="00305B91" w:rsidRPr="00726D0E" w:rsidRDefault="00305B91" w:rsidP="002375C3">
            <w:pPr>
              <w:spacing w:after="0" w:line="240" w:lineRule="auto"/>
            </w:pPr>
            <w:r w:rsidRPr="00726D0E">
              <w:t>Diciembre de cada año a partir del 2013</w:t>
            </w:r>
          </w:p>
        </w:tc>
        <w:tc>
          <w:tcPr>
            <w:tcW w:w="796" w:type="pct"/>
            <w:shd w:val="clear" w:color="auto" w:fill="auto"/>
          </w:tcPr>
          <w:p w:rsidR="00305B91" w:rsidRPr="00726D0E" w:rsidRDefault="00305B91" w:rsidP="004D3934">
            <w:pPr>
              <w:spacing w:after="0" w:line="240" w:lineRule="auto"/>
            </w:pPr>
            <w:r w:rsidRPr="00726D0E">
              <w:t>-Vicerrector Desarrollo Estudiantil</w:t>
            </w:r>
          </w:p>
          <w:p w:rsidR="00305B91" w:rsidRPr="00726D0E" w:rsidRDefault="00305B91" w:rsidP="004D3934">
            <w:pPr>
              <w:spacing w:after="0" w:line="240" w:lineRule="auto"/>
            </w:pPr>
            <w:r w:rsidRPr="00726D0E">
              <w:t>-Director de Bienestar</w:t>
            </w:r>
          </w:p>
        </w:tc>
        <w:tc>
          <w:tcPr>
            <w:tcW w:w="534" w:type="pct"/>
            <w:shd w:val="clear" w:color="auto" w:fill="auto"/>
          </w:tcPr>
          <w:p w:rsidR="00305B91" w:rsidRPr="000365E4" w:rsidRDefault="00305B91" w:rsidP="002375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CA52A6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5C6698" w:rsidP="005E7198">
      <w:pPr>
        <w:rPr>
          <w:rFonts w:asciiTheme="minorHAnsi" w:hAnsiTheme="minorHAnsi"/>
          <w:b/>
          <w:lang w:val="es-CL"/>
        </w:rPr>
      </w:pPr>
      <w:r w:rsidRPr="005C6698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F24E9" w:rsidRDefault="005F24E9" w:rsidP="005E7198">
      <w:pPr>
        <w:spacing w:after="0"/>
        <w:rPr>
          <w:rFonts w:asciiTheme="minorHAnsi" w:hAnsiTheme="minorHAnsi"/>
          <w:b/>
        </w:rPr>
      </w:pPr>
    </w:p>
    <w:p w:rsidR="005F24E9" w:rsidRDefault="005F24E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726D0E" w:rsidRPr="004515D8" w:rsidTr="00D01C7D">
        <w:trPr>
          <w:trHeight w:val="468"/>
        </w:trPr>
        <w:tc>
          <w:tcPr>
            <w:tcW w:w="7054" w:type="dxa"/>
          </w:tcPr>
          <w:p w:rsidR="00726D0E" w:rsidRPr="004515D8" w:rsidRDefault="00726D0E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Pr="00E16C3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CA52A6" w:rsidRDefault="00CA52A6"/>
    <w:p w:rsidR="00CA52A6" w:rsidRDefault="00CA52A6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5C6698" w:rsidP="005E7198">
      <w:pPr>
        <w:rPr>
          <w:rFonts w:asciiTheme="minorHAnsi" w:hAnsiTheme="minorHAnsi"/>
          <w:b/>
        </w:rPr>
      </w:pPr>
      <w:r w:rsidRPr="005C6698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726D0E" w:rsidRDefault="00726D0E" w:rsidP="00110A88">
      <w:pPr>
        <w:spacing w:after="0"/>
        <w:rPr>
          <w:rFonts w:asciiTheme="minorHAnsi" w:hAnsiTheme="minorHAnsi"/>
          <w:b/>
        </w:rPr>
      </w:pPr>
    </w:p>
    <w:p w:rsidR="00CA52A6" w:rsidRDefault="00CA52A6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900069">
        <w:rPr>
          <w:rFonts w:asciiTheme="minorHAnsi" w:hAnsiTheme="minorHAnsi"/>
          <w:b/>
        </w:rPr>
        <w:t xml:space="preserve"> DE LA DIRECCIÓN DE</w:t>
      </w:r>
      <w:r w:rsidR="006516E4">
        <w:rPr>
          <w:rFonts w:asciiTheme="minorHAnsi" w:hAnsiTheme="minorHAnsi"/>
          <w:b/>
        </w:rPr>
        <w:t xml:space="preserve"> BIENESTAR ESTUDIANTIL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375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A159F0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375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F24E9" w:rsidRDefault="005F24E9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bookmarkStart w:id="0" w:name="_GoBack"/>
      <w:bookmarkEnd w:id="0"/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</w:t>
      </w:r>
      <w:r w:rsidR="00CA52A6">
        <w:rPr>
          <w:rFonts w:asciiTheme="minorHAnsi" w:hAnsiTheme="minorHAnsi"/>
          <w:b/>
        </w:rPr>
        <w:t xml:space="preserve"> </w:t>
      </w:r>
      <w:r w:rsidR="00110A88">
        <w:rPr>
          <w:rFonts w:asciiTheme="minorHAnsi" w:hAnsiTheme="minorHAnsi"/>
          <w:b/>
        </w:rPr>
        <w:t>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CA52A6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CA52A6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CA52A6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CA52A6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CA52A6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9A" w:rsidRDefault="00473B9A" w:rsidP="00F321DC">
      <w:pPr>
        <w:spacing w:after="0" w:line="240" w:lineRule="auto"/>
      </w:pPr>
      <w:r>
        <w:separator/>
      </w:r>
    </w:p>
  </w:endnote>
  <w:endnote w:type="continuationSeparator" w:id="1">
    <w:p w:rsidR="00473B9A" w:rsidRDefault="00473B9A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0F7D42" w:rsidRDefault="005C6698">
        <w:pPr>
          <w:pStyle w:val="Piedepgina"/>
          <w:jc w:val="right"/>
        </w:pPr>
        <w:r>
          <w:fldChar w:fldCharType="begin"/>
        </w:r>
        <w:r w:rsidR="000F7D42">
          <w:instrText xml:space="preserve"> PAGE   \* MERGEFORMAT </w:instrText>
        </w:r>
        <w:r>
          <w:fldChar w:fldCharType="separate"/>
        </w:r>
        <w:r w:rsidR="00CA52A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F7D42" w:rsidRDefault="000F7D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9A" w:rsidRDefault="00473B9A" w:rsidP="00F321DC">
      <w:pPr>
        <w:spacing w:after="0" w:line="240" w:lineRule="auto"/>
      </w:pPr>
      <w:r>
        <w:separator/>
      </w:r>
    </w:p>
  </w:footnote>
  <w:footnote w:type="continuationSeparator" w:id="1">
    <w:p w:rsidR="00473B9A" w:rsidRDefault="00473B9A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2" w:rsidRDefault="000F7D42">
    <w:pPr>
      <w:pStyle w:val="Encabezado"/>
    </w:pPr>
  </w:p>
  <w:p w:rsidR="000F7D42" w:rsidRDefault="000F7D4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2" w:rsidRDefault="000F7D42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32C9" w:rsidRDefault="00CA52A6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0F7D42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0F7D42" w:rsidRPr="00AC3CE7" w:rsidRDefault="000F7D42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73B9A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C6698"/>
    <w:rsid w:val="005D7E86"/>
    <w:rsid w:val="005E7198"/>
    <w:rsid w:val="005F24E9"/>
    <w:rsid w:val="00603ADD"/>
    <w:rsid w:val="00630A68"/>
    <w:rsid w:val="006376F4"/>
    <w:rsid w:val="0064558F"/>
    <w:rsid w:val="006516E4"/>
    <w:rsid w:val="00655918"/>
    <w:rsid w:val="00665501"/>
    <w:rsid w:val="006675EA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08AD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086C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A11F7"/>
    <w:rsid w:val="00CA52A6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FCC324D8-FE22-42B1-A0C8-7F008805D206}" type="presOf" srcId="{9AB012B8-2013-450E-9838-0C28222136BD}" destId="{91D06AA7-979D-43BF-B212-107FACA35ABA}" srcOrd="0" destOrd="1" presId="urn:microsoft.com/office/officeart/2005/8/layout/vList4#4"/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4E80E6B7-F8FD-434A-8E00-907BC7EDB820}" type="presOf" srcId="{9AB012B8-2013-450E-9838-0C28222136BD}" destId="{E6F352DB-CD87-4918-9AD7-E42C47D5DCDD}" srcOrd="1" destOrd="1" presId="urn:microsoft.com/office/officeart/2005/8/layout/vList4#4"/>
    <dgm:cxn modelId="{9AC6B342-33DB-4774-907F-A42DE8A2A132}" type="presOf" srcId="{7D736F56-5E7C-4165-A439-DB85FF57B667}" destId="{0F1D83A8-E96B-4ED1-86DB-8974815ECD30}" srcOrd="1" destOrd="0" presId="urn:microsoft.com/office/officeart/2005/8/layout/vList4#4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94EBA8C3-6C6C-4EEA-9ACC-D60C0B28F78C}" type="presOf" srcId="{F9C1ABE1-9CC1-4B98-9F18-448C386F07BB}" destId="{9AEAC8AE-0E2F-4013-B60E-3514410A1D49}" srcOrd="1" destOrd="0" presId="urn:microsoft.com/office/officeart/2005/8/layout/vList4#4"/>
    <dgm:cxn modelId="{1AD4C65D-3137-44A5-A837-123089003DFD}" type="presOf" srcId="{7D736F56-5E7C-4165-A439-DB85FF57B667}" destId="{881537AB-96C8-465C-B9F2-F14F4D5B2C60}" srcOrd="0" destOrd="0" presId="urn:microsoft.com/office/officeart/2005/8/layout/vList4#4"/>
    <dgm:cxn modelId="{2023EDFC-C0B8-494C-A498-69E123ACA499}" type="presOf" srcId="{C1EAD699-C332-4768-9340-40BA75436597}" destId="{E6F352DB-CD87-4918-9AD7-E42C47D5DCDD}" srcOrd="1" destOrd="0" presId="urn:microsoft.com/office/officeart/2005/8/layout/vList4#4"/>
    <dgm:cxn modelId="{D568C45D-9205-4E35-AC12-983FE3CC0C1E}" type="presOf" srcId="{F9C1ABE1-9CC1-4B98-9F18-448C386F07BB}" destId="{D7C1CED6-C28A-44AA-A56E-8BF9F93A5C63}" srcOrd="0" destOrd="0" presId="urn:microsoft.com/office/officeart/2005/8/layout/vList4#4"/>
    <dgm:cxn modelId="{EE890CF3-F8E0-4875-BF6C-4FC02559D768}" type="presOf" srcId="{C1EAD699-C332-4768-9340-40BA75436597}" destId="{91D06AA7-979D-43BF-B212-107FACA35ABA}" srcOrd="0" destOrd="0" presId="urn:microsoft.com/office/officeart/2005/8/layout/vList4#4"/>
    <dgm:cxn modelId="{FEF68203-CB9A-4DC9-A8F4-45EF67D36AD4}" type="presOf" srcId="{6AA3FB31-4991-444D-A81C-0248C1DD88DC}" destId="{99B4252B-8A91-4748-9825-EE88056880A2}" srcOrd="0" destOrd="0" presId="urn:microsoft.com/office/officeart/2005/8/layout/vList4#4"/>
    <dgm:cxn modelId="{2A2AD1B6-5322-4E31-95AC-263226E457C8}" type="presParOf" srcId="{99B4252B-8A91-4748-9825-EE88056880A2}" destId="{18D71F07-69E2-4CBD-9C2B-B76CB06075E4}" srcOrd="0" destOrd="0" presId="urn:microsoft.com/office/officeart/2005/8/layout/vList4#4"/>
    <dgm:cxn modelId="{A5A51672-37B7-4FA6-B031-F53ECDD4BC07}" type="presParOf" srcId="{18D71F07-69E2-4CBD-9C2B-B76CB06075E4}" destId="{91D06AA7-979D-43BF-B212-107FACA35ABA}" srcOrd="0" destOrd="0" presId="urn:microsoft.com/office/officeart/2005/8/layout/vList4#4"/>
    <dgm:cxn modelId="{807ECA43-EAA4-4318-9B02-F61B5FCCA9BD}" type="presParOf" srcId="{18D71F07-69E2-4CBD-9C2B-B76CB06075E4}" destId="{35BD51C7-13ED-46EC-99EB-69C6A5C7F517}" srcOrd="1" destOrd="0" presId="urn:microsoft.com/office/officeart/2005/8/layout/vList4#4"/>
    <dgm:cxn modelId="{05F09125-AE4B-4DB0-AC6A-5C08E37BB81E}" type="presParOf" srcId="{18D71F07-69E2-4CBD-9C2B-B76CB06075E4}" destId="{E6F352DB-CD87-4918-9AD7-E42C47D5DCDD}" srcOrd="2" destOrd="0" presId="urn:microsoft.com/office/officeart/2005/8/layout/vList4#4"/>
    <dgm:cxn modelId="{AC41AAA1-F348-4C20-BBC0-512E49535B0A}" type="presParOf" srcId="{99B4252B-8A91-4748-9825-EE88056880A2}" destId="{25D340C1-1622-45D0-80D0-BE9A0913DD9F}" srcOrd="1" destOrd="0" presId="urn:microsoft.com/office/officeart/2005/8/layout/vList4#4"/>
    <dgm:cxn modelId="{D64AE0A2-1A3F-445B-AF87-CA95DF8FA33B}" type="presParOf" srcId="{99B4252B-8A91-4748-9825-EE88056880A2}" destId="{BA1BFBF2-4F25-435A-8168-D27DD89DBDA9}" srcOrd="2" destOrd="0" presId="urn:microsoft.com/office/officeart/2005/8/layout/vList4#4"/>
    <dgm:cxn modelId="{8BB544C0-261A-4048-A0F9-D276F49CC3CE}" type="presParOf" srcId="{BA1BFBF2-4F25-435A-8168-D27DD89DBDA9}" destId="{881537AB-96C8-465C-B9F2-F14F4D5B2C60}" srcOrd="0" destOrd="0" presId="urn:microsoft.com/office/officeart/2005/8/layout/vList4#4"/>
    <dgm:cxn modelId="{E0633ACB-F5F9-4F53-BE6A-DB1DA4F57C84}" type="presParOf" srcId="{BA1BFBF2-4F25-435A-8168-D27DD89DBDA9}" destId="{4FA255E2-8701-4F4E-995A-B6AF0629C9A7}" srcOrd="1" destOrd="0" presId="urn:microsoft.com/office/officeart/2005/8/layout/vList4#4"/>
    <dgm:cxn modelId="{45A8DC1C-EAAA-448E-9140-E8A0B13DD8B2}" type="presParOf" srcId="{BA1BFBF2-4F25-435A-8168-D27DD89DBDA9}" destId="{0F1D83A8-E96B-4ED1-86DB-8974815ECD30}" srcOrd="2" destOrd="0" presId="urn:microsoft.com/office/officeart/2005/8/layout/vList4#4"/>
    <dgm:cxn modelId="{DDD9CE21-1D68-461C-908E-5E3F7869401B}" type="presParOf" srcId="{99B4252B-8A91-4748-9825-EE88056880A2}" destId="{D747FC36-A6F5-4493-8FCA-3E90F496E8C8}" srcOrd="3" destOrd="0" presId="urn:microsoft.com/office/officeart/2005/8/layout/vList4#4"/>
    <dgm:cxn modelId="{645CCB79-0A5B-44D3-B613-07E00E3FDEDB}" type="presParOf" srcId="{99B4252B-8A91-4748-9825-EE88056880A2}" destId="{93142622-88A7-4214-9224-299B0A579FEF}" srcOrd="4" destOrd="0" presId="urn:microsoft.com/office/officeart/2005/8/layout/vList4#4"/>
    <dgm:cxn modelId="{33245354-40E1-4355-A60C-E2B18FF50CB5}" type="presParOf" srcId="{93142622-88A7-4214-9224-299B0A579FEF}" destId="{D7C1CED6-C28A-44AA-A56E-8BF9F93A5C63}" srcOrd="0" destOrd="0" presId="urn:microsoft.com/office/officeart/2005/8/layout/vList4#4"/>
    <dgm:cxn modelId="{88C94E8C-8539-469E-9350-61A3353C9514}" type="presParOf" srcId="{93142622-88A7-4214-9224-299B0A579FEF}" destId="{2696C48F-B82C-47DA-BF9F-BEF13567D525}" srcOrd="1" destOrd="0" presId="urn:microsoft.com/office/officeart/2005/8/layout/vList4#4"/>
    <dgm:cxn modelId="{AC341B54-0EB2-4CF0-9E82-0C41E1270EA2}" type="presParOf" srcId="{93142622-88A7-4214-9224-299B0A579FEF}" destId="{9AEAC8AE-0E2F-4013-B60E-3514410A1D49}" srcOrd="2" destOrd="0" presId="urn:microsoft.com/office/officeart/2005/8/layout/vList4#4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20</Pages>
  <Words>2504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96</cp:revision>
  <cp:lastPrinted>2012-12-17T12:45:00Z</cp:lastPrinted>
  <dcterms:created xsi:type="dcterms:W3CDTF">2012-01-25T14:17:00Z</dcterms:created>
  <dcterms:modified xsi:type="dcterms:W3CDTF">2012-12-17T12:45:00Z</dcterms:modified>
</cp:coreProperties>
</file>