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de </w:t>
      </w:r>
      <w:r w:rsidR="0085133E">
        <w:rPr>
          <w:color w:val="000000" w:themeColor="text1"/>
          <w:sz w:val="28"/>
          <w:szCs w:val="28"/>
          <w:lang w:val="es-CL"/>
        </w:rPr>
        <w:t>Posgrados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4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90006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675EA" w:rsidRPr="00D73545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4103CA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4103CA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01" w:type="pct"/>
        <w:tblInd w:w="108" w:type="dxa"/>
        <w:tblLook w:val="04A0"/>
      </w:tblPr>
      <w:tblGrid>
        <w:gridCol w:w="2511"/>
        <w:gridCol w:w="2734"/>
        <w:gridCol w:w="2692"/>
        <w:gridCol w:w="2692"/>
        <w:gridCol w:w="1704"/>
        <w:gridCol w:w="1701"/>
      </w:tblGrid>
      <w:tr w:rsidR="00392386" w:rsidRPr="00E16FF5" w:rsidTr="00392386">
        <w:trPr>
          <w:cnfStyle w:val="100000000000"/>
          <w:trHeight w:val="340"/>
        </w:trPr>
        <w:tc>
          <w:tcPr>
            <w:cnfStyle w:val="001000000000"/>
            <w:tcW w:w="895" w:type="pct"/>
            <w:shd w:val="clear" w:color="auto" w:fill="8DB3E2" w:themeFill="text2" w:themeFillTint="66"/>
          </w:tcPr>
          <w:p w:rsidR="00392386" w:rsidRPr="00E16FF5" w:rsidRDefault="00392386" w:rsidP="00392386">
            <w:pPr>
              <w:spacing w:after="0"/>
              <w:rPr>
                <w:rFonts w:asciiTheme="minorHAnsi" w:hAnsiTheme="minorHAnsi" w:cs="Calibri"/>
              </w:rPr>
            </w:pPr>
            <w:r w:rsidRPr="00E16FF5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74" w:type="pct"/>
            <w:shd w:val="clear" w:color="auto" w:fill="8DB3E2" w:themeFill="text2" w:themeFillTint="66"/>
          </w:tcPr>
          <w:p w:rsidR="00392386" w:rsidRPr="00E16FF5" w:rsidRDefault="00392386" w:rsidP="00392386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E16FF5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59" w:type="pct"/>
            <w:shd w:val="clear" w:color="auto" w:fill="8DB3E2" w:themeFill="text2" w:themeFillTint="66"/>
          </w:tcPr>
          <w:p w:rsidR="00392386" w:rsidRPr="00E16FF5" w:rsidRDefault="00392386" w:rsidP="00392386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E16FF5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959" w:type="pct"/>
            <w:shd w:val="clear" w:color="auto" w:fill="8DB3E2" w:themeFill="text2" w:themeFillTint="66"/>
          </w:tcPr>
          <w:p w:rsidR="00392386" w:rsidRPr="00E16FF5" w:rsidRDefault="00392386" w:rsidP="00392386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E16FF5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607" w:type="pct"/>
            <w:shd w:val="clear" w:color="auto" w:fill="8DB3E2" w:themeFill="text2" w:themeFillTint="66"/>
          </w:tcPr>
          <w:p w:rsidR="00392386" w:rsidRPr="00E16FF5" w:rsidRDefault="00392386" w:rsidP="00392386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E16FF5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606" w:type="pct"/>
            <w:shd w:val="clear" w:color="auto" w:fill="8DB3E2" w:themeFill="text2" w:themeFillTint="66"/>
          </w:tcPr>
          <w:p w:rsidR="00392386" w:rsidRPr="00E16FF5" w:rsidRDefault="00392386" w:rsidP="00392386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E16FF5">
              <w:rPr>
                <w:rFonts w:asciiTheme="minorHAnsi" w:hAnsiTheme="minorHAnsi" w:cs="Calibri"/>
              </w:rPr>
              <w:t>Nivel de Logro</w:t>
            </w:r>
          </w:p>
        </w:tc>
      </w:tr>
      <w:tr w:rsidR="00392386" w:rsidRPr="00E16FF5" w:rsidTr="00392386">
        <w:trPr>
          <w:cnfStyle w:val="000000100000"/>
          <w:trHeight w:val="340"/>
        </w:trPr>
        <w:tc>
          <w:tcPr>
            <w:cnfStyle w:val="001000000000"/>
            <w:tcW w:w="895" w:type="pct"/>
            <w:vMerge w:val="restart"/>
            <w:shd w:val="clear" w:color="auto" w:fill="auto"/>
          </w:tcPr>
          <w:p w:rsidR="00392386" w:rsidRPr="004E53F2" w:rsidRDefault="00392386" w:rsidP="00392386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4E53F2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974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Iniciar la aplicación del Sistema de aseguramiento de la Calidad</w:t>
            </w:r>
          </w:p>
        </w:tc>
        <w:tc>
          <w:tcPr>
            <w:tcW w:w="959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Que el 100% de las unidades inicien la aplicación del sistema  aseguramiento de la Calidad</w:t>
            </w:r>
          </w:p>
        </w:tc>
        <w:tc>
          <w:tcPr>
            <w:tcW w:w="959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% de unidades que iniciaron la aplicación del sistema, con informe entregado</w:t>
            </w:r>
          </w:p>
        </w:tc>
        <w:tc>
          <w:tcPr>
            <w:tcW w:w="607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highlight w:val="yellow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Diciembre del 2010</w:t>
            </w:r>
          </w:p>
        </w:tc>
        <w:tc>
          <w:tcPr>
            <w:tcW w:w="606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392386" w:rsidRPr="00E16FF5" w:rsidTr="00392386">
        <w:trPr>
          <w:cnfStyle w:val="000000010000"/>
          <w:trHeight w:val="340"/>
        </w:trPr>
        <w:tc>
          <w:tcPr>
            <w:cnfStyle w:val="001000000000"/>
            <w:tcW w:w="895" w:type="pct"/>
            <w:vMerge/>
            <w:shd w:val="clear" w:color="auto" w:fill="auto"/>
          </w:tcPr>
          <w:p w:rsidR="00392386" w:rsidRPr="004E53F2" w:rsidRDefault="00392386" w:rsidP="0039238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74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959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959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607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606" w:type="pct"/>
            <w:shd w:val="clear" w:color="auto" w:fill="auto"/>
          </w:tcPr>
          <w:p w:rsidR="00392386" w:rsidRPr="004E53F2" w:rsidRDefault="00392386" w:rsidP="00392386">
            <w:pPr>
              <w:cnfStyle w:val="000000010000"/>
              <w:rPr>
                <w:rFonts w:asciiTheme="minorHAnsi" w:hAnsiTheme="minorHAnsi"/>
              </w:rPr>
            </w:pPr>
          </w:p>
        </w:tc>
      </w:tr>
      <w:tr w:rsidR="00392386" w:rsidRPr="00E16FF5" w:rsidTr="00392386">
        <w:trPr>
          <w:cnfStyle w:val="000000100000"/>
          <w:trHeight w:val="340"/>
        </w:trPr>
        <w:tc>
          <w:tcPr>
            <w:cnfStyle w:val="001000000000"/>
            <w:tcW w:w="895" w:type="pct"/>
            <w:vMerge/>
            <w:shd w:val="clear" w:color="auto" w:fill="auto"/>
          </w:tcPr>
          <w:p w:rsidR="00392386" w:rsidRPr="004E53F2" w:rsidRDefault="00392386" w:rsidP="0039238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74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Evaluar la instalación del SCAC</w:t>
            </w:r>
          </w:p>
        </w:tc>
        <w:tc>
          <w:tcPr>
            <w:tcW w:w="959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semestral de autoevaluación de la instalación del modelo</w:t>
            </w:r>
          </w:p>
        </w:tc>
        <w:tc>
          <w:tcPr>
            <w:tcW w:w="959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semestrales realizada</w:t>
            </w:r>
          </w:p>
        </w:tc>
        <w:tc>
          <w:tcPr>
            <w:tcW w:w="607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Semestral</w:t>
            </w:r>
          </w:p>
        </w:tc>
        <w:tc>
          <w:tcPr>
            <w:tcW w:w="606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392386" w:rsidRPr="00E16FF5" w:rsidTr="00392386">
        <w:trPr>
          <w:cnfStyle w:val="000000010000"/>
          <w:trHeight w:val="340"/>
        </w:trPr>
        <w:tc>
          <w:tcPr>
            <w:cnfStyle w:val="001000000000"/>
            <w:tcW w:w="895" w:type="pct"/>
            <w:shd w:val="clear" w:color="auto" w:fill="auto"/>
          </w:tcPr>
          <w:p w:rsidR="00392386" w:rsidRPr="004E53F2" w:rsidRDefault="00392386" w:rsidP="00392386">
            <w:pPr>
              <w:pStyle w:val="Prrafodelista"/>
              <w:tabs>
                <w:tab w:val="left" w:pos="709"/>
              </w:tabs>
              <w:ind w:left="0"/>
              <w:rPr>
                <w:rFonts w:asciiTheme="minorHAnsi" w:hAnsiTheme="minorHAnsi"/>
                <w:b w:val="0"/>
              </w:rPr>
            </w:pPr>
            <w:r w:rsidRPr="004E53F2">
              <w:rPr>
                <w:rFonts w:asciiTheme="minorHAnsi" w:hAnsiTheme="minorHAnsi"/>
                <w:b w:val="0"/>
              </w:rPr>
              <w:t>Fortalecer los procedimientos del sistema de control y aseguramiento de la Calidad (SCAC)</w:t>
            </w:r>
          </w:p>
        </w:tc>
        <w:tc>
          <w:tcPr>
            <w:tcW w:w="974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seguimiento de los planes de mejora de las unidades </w:t>
            </w:r>
          </w:p>
        </w:tc>
        <w:tc>
          <w:tcPr>
            <w:tcW w:w="959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959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607" w:type="pct"/>
            <w:shd w:val="clear" w:color="auto" w:fill="auto"/>
          </w:tcPr>
          <w:p w:rsidR="00392386" w:rsidRPr="004E53F2" w:rsidRDefault="00392386" w:rsidP="00392386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606" w:type="pct"/>
            <w:shd w:val="clear" w:color="auto" w:fill="auto"/>
          </w:tcPr>
          <w:p w:rsidR="00392386" w:rsidRPr="004E53F2" w:rsidRDefault="00392386" w:rsidP="00392386">
            <w:pPr>
              <w:spacing w:after="0"/>
              <w:cnfStyle w:val="000000010000"/>
              <w:rPr>
                <w:rFonts w:asciiTheme="minorHAnsi" w:hAnsiTheme="minorHAnsi" w:cs="Calibri"/>
              </w:rPr>
            </w:pPr>
          </w:p>
        </w:tc>
      </w:tr>
    </w:tbl>
    <w:p w:rsidR="00AC7B70" w:rsidRPr="00934BF5" w:rsidRDefault="00AC7B70" w:rsidP="00AC7B70"/>
    <w:p w:rsidR="00DF661B" w:rsidRDefault="00DF661B" w:rsidP="00AC7B70"/>
    <w:p w:rsidR="00A44D01" w:rsidRDefault="00A44D01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392386" w:rsidRDefault="00392386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392386" w:rsidRDefault="00392386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392386" w:rsidRDefault="00392386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392386" w:rsidRDefault="00392386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50" w:tblpY="45"/>
        <w:tblW w:w="13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838"/>
      </w:tblGrid>
      <w:tr w:rsidR="00607310" w:rsidRPr="008B79E6" w:rsidTr="00607310">
        <w:tc>
          <w:tcPr>
            <w:tcW w:w="7054" w:type="dxa"/>
            <w:shd w:val="clear" w:color="auto" w:fill="8DB3E2" w:themeFill="text2" w:themeFillTint="66"/>
          </w:tcPr>
          <w:p w:rsidR="00607310" w:rsidRPr="00CD341F" w:rsidRDefault="00607310" w:rsidP="00607310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 xml:space="preserve">Metas  </w:t>
            </w:r>
          </w:p>
        </w:tc>
        <w:tc>
          <w:tcPr>
            <w:tcW w:w="6838" w:type="dxa"/>
            <w:shd w:val="clear" w:color="auto" w:fill="8DB3E2" w:themeFill="text2" w:themeFillTint="66"/>
          </w:tcPr>
          <w:p w:rsidR="00607310" w:rsidRPr="00CD341F" w:rsidRDefault="00607310" w:rsidP="00607310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>Nivel de logro(L,ML,NL)</w:t>
            </w:r>
          </w:p>
        </w:tc>
      </w:tr>
      <w:tr w:rsidR="00142FE8" w:rsidRPr="008B79E6" w:rsidTr="00607310">
        <w:tc>
          <w:tcPr>
            <w:tcW w:w="7054" w:type="dxa"/>
          </w:tcPr>
          <w:p w:rsidR="00142FE8" w:rsidRDefault="00142FE8" w:rsidP="00142FE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080684">
              <w:rPr>
                <w:rFonts w:asciiTheme="minorHAnsi" w:eastAsia="Times New Roman" w:hAnsiTheme="minorHAnsi"/>
                <w:b/>
              </w:rPr>
              <w:t>Responsable:</w:t>
            </w:r>
            <w:r w:rsidRPr="00142FE8">
              <w:rPr>
                <w:rFonts w:asciiTheme="minorHAnsi" w:eastAsia="Times New Roman" w:hAnsiTheme="minorHAnsi"/>
              </w:rPr>
              <w:t>Diseñar una estructura orgánica que contemple un equipo de trabajo a marzo de 2012.</w:t>
            </w:r>
            <w:r>
              <w:rPr>
                <w:rFonts w:asciiTheme="minorHAnsi" w:hAnsiTheme="minorHAnsi"/>
              </w:rPr>
              <w:t>(Vinculada a indicador N°108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142FE8" w:rsidRPr="008B79E6" w:rsidTr="00607310">
        <w:tc>
          <w:tcPr>
            <w:tcW w:w="7054" w:type="dxa"/>
          </w:tcPr>
          <w:p w:rsidR="00142FE8" w:rsidRDefault="00142FE8" w:rsidP="00142FE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Responsable</w:t>
            </w:r>
            <w:r w:rsidRPr="004515D8">
              <w:rPr>
                <w:rFonts w:asciiTheme="minorHAnsi" w:eastAsia="Times New Roman" w:hAnsiTheme="minorHAnsi"/>
              </w:rPr>
              <w:t>:</w:t>
            </w:r>
            <w:r w:rsidRPr="00142FE8">
              <w:rPr>
                <w:rFonts w:asciiTheme="minorHAnsi" w:eastAsia="Times New Roman" w:hAnsiTheme="minorHAnsi"/>
              </w:rPr>
              <w:t>Diseñar una estructura funcional que contemple la reglamentación y organigrama a marzo de 2012.</w:t>
            </w:r>
            <w:r>
              <w:rPr>
                <w:rFonts w:asciiTheme="minorHAnsi" w:hAnsiTheme="minorHAnsi"/>
              </w:rPr>
              <w:t>(Vinculada a indicador N°109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142FE8" w:rsidRPr="008B79E6" w:rsidTr="00607310">
        <w:tc>
          <w:tcPr>
            <w:tcW w:w="7054" w:type="dxa"/>
          </w:tcPr>
          <w:p w:rsidR="00142FE8" w:rsidRDefault="00142FE8" w:rsidP="00142FE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080684">
              <w:rPr>
                <w:rFonts w:asciiTheme="minorHAnsi" w:eastAsia="Times New Roman" w:hAnsiTheme="minorHAnsi"/>
                <w:b/>
              </w:rPr>
              <w:t>Responsable:</w:t>
            </w:r>
            <w:r w:rsidRPr="00142FE8">
              <w:rPr>
                <w:rFonts w:asciiTheme="minorHAnsi" w:eastAsia="Times New Roman" w:hAnsiTheme="minorHAnsi"/>
              </w:rPr>
              <w:t>Incorporar gradualmente personal técnico: -Asesor de tesis a marzo de 2012</w:t>
            </w:r>
            <w:r>
              <w:rPr>
                <w:rFonts w:asciiTheme="minorHAnsi" w:eastAsia="Times New Roman" w:hAnsiTheme="minorHAnsi"/>
              </w:rPr>
              <w:t xml:space="preserve">.      </w:t>
            </w:r>
          </w:p>
          <w:p w:rsidR="00142FE8" w:rsidRDefault="00142FE8" w:rsidP="00142FE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142FE8">
              <w:rPr>
                <w:rFonts w:asciiTheme="minorHAnsi" w:eastAsia="Times New Roman" w:hAnsiTheme="minorHAnsi"/>
              </w:rPr>
              <w:t xml:space="preserve">-Secretario académico a junio de 2012.                          </w:t>
            </w:r>
          </w:p>
          <w:p w:rsidR="00142FE8" w:rsidRDefault="00142FE8" w:rsidP="00142FE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142FE8">
              <w:rPr>
                <w:rFonts w:asciiTheme="minorHAnsi" w:eastAsia="Times New Roman" w:hAnsiTheme="minorHAnsi"/>
              </w:rPr>
              <w:t>-Comité técnico a junio de 2012.</w:t>
            </w:r>
            <w:r>
              <w:rPr>
                <w:rFonts w:asciiTheme="minorHAnsi" w:hAnsiTheme="minorHAnsi"/>
              </w:rPr>
              <w:t>(Vinculada a indicador N°110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142FE8" w:rsidRPr="008B79E6" w:rsidTr="00607310">
        <w:tc>
          <w:tcPr>
            <w:tcW w:w="7054" w:type="dxa"/>
          </w:tcPr>
          <w:p w:rsidR="00142FE8" w:rsidRPr="00E16FF5" w:rsidRDefault="00142FE8" w:rsidP="00142FE8">
            <w:pPr>
              <w:spacing w:after="0" w:line="240" w:lineRule="auto"/>
            </w:pPr>
            <w:r w:rsidRPr="00080684">
              <w:rPr>
                <w:rFonts w:asciiTheme="minorHAnsi" w:eastAsia="Times New Roman" w:hAnsiTheme="minorHAnsi"/>
                <w:b/>
              </w:rPr>
              <w:t>Responsable:</w:t>
            </w:r>
            <w:r w:rsidRPr="004515D8">
              <w:rPr>
                <w:rFonts w:asciiTheme="minorHAnsi" w:eastAsia="Times New Roman" w:hAnsiTheme="minorHAnsi"/>
              </w:rPr>
              <w:t xml:space="preserve"> Conformar un equipo estable de a los menos cinco docentes de posgrado con su respectiva carga horaria a partir de enero de 2013. </w:t>
            </w:r>
            <w:r w:rsidRPr="004515D8">
              <w:rPr>
                <w:rFonts w:asciiTheme="minorHAnsi" w:hAnsiTheme="minorHAnsi"/>
              </w:rPr>
              <w:t>(Vinculada a indicador N°111)</w:t>
            </w: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080684" w:rsidRPr="008B79E6" w:rsidTr="00607310">
        <w:tc>
          <w:tcPr>
            <w:tcW w:w="7054" w:type="dxa"/>
          </w:tcPr>
          <w:p w:rsidR="00080684" w:rsidRPr="00080684" w:rsidRDefault="00080684" w:rsidP="00080684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080684">
              <w:rPr>
                <w:rFonts w:asciiTheme="minorHAnsi" w:eastAsia="Times New Roman" w:hAnsiTheme="minorHAnsi"/>
              </w:rPr>
              <w:t>Fuente:Disponer de una infraestructura que aloje la administración de posgrado y sus requerimientos a Junio de 2014.</w:t>
            </w:r>
            <w:r w:rsidRPr="004515D8">
              <w:rPr>
                <w:rFonts w:asciiTheme="minorHAnsi" w:hAnsiTheme="minorHAnsi"/>
              </w:rPr>
              <w:t>(Vinculada a indicador N°11</w:t>
            </w:r>
            <w:r>
              <w:rPr>
                <w:rFonts w:asciiTheme="minorHAnsi" w:hAnsiTheme="minorHAnsi"/>
              </w:rPr>
              <w:t>2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080684" w:rsidRPr="008B79E6" w:rsidRDefault="00080684" w:rsidP="00142FE8">
            <w:pPr>
              <w:spacing w:after="0" w:line="240" w:lineRule="auto"/>
              <w:rPr>
                <w:b/>
              </w:rPr>
            </w:pPr>
          </w:p>
        </w:tc>
      </w:tr>
      <w:tr w:rsidR="00142FE8" w:rsidRPr="008B79E6" w:rsidTr="00607310">
        <w:tc>
          <w:tcPr>
            <w:tcW w:w="7054" w:type="dxa"/>
          </w:tcPr>
          <w:p w:rsidR="00142FE8" w:rsidRDefault="00142FE8" w:rsidP="00142FE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080684">
              <w:rPr>
                <w:rFonts w:asciiTheme="minorHAnsi" w:eastAsia="Times New Roman" w:hAnsiTheme="minorHAnsi"/>
                <w:b/>
              </w:rPr>
              <w:t>Responsable:</w:t>
            </w:r>
            <w:r w:rsidRPr="00142FE8">
              <w:rPr>
                <w:rFonts w:asciiTheme="minorHAnsi" w:eastAsia="Times New Roman" w:hAnsiTheme="minorHAnsi"/>
              </w:rPr>
              <w:t>Optimizar los servicios auxiliares  (biblioteca, residencias, duplicaciones, DTI, casino, aire acondicionado, dispensadores de agua) que requieren los alumnos de posgrado a enero de 2013.</w:t>
            </w:r>
            <w:r w:rsidRPr="004515D8">
              <w:rPr>
                <w:rFonts w:asciiTheme="minorHAnsi" w:hAnsiTheme="minorHAnsi"/>
              </w:rPr>
              <w:t>(Vinculada a indicador N°11</w:t>
            </w:r>
            <w:r>
              <w:rPr>
                <w:rFonts w:asciiTheme="minorHAnsi" w:hAnsiTheme="minorHAnsi"/>
              </w:rPr>
              <w:t>3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080684" w:rsidRPr="008B79E6" w:rsidTr="00607310">
        <w:tc>
          <w:tcPr>
            <w:tcW w:w="7054" w:type="dxa"/>
          </w:tcPr>
          <w:p w:rsidR="00080684" w:rsidRPr="00080684" w:rsidRDefault="00080684" w:rsidP="00142FE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080684">
              <w:rPr>
                <w:rFonts w:asciiTheme="minorHAnsi" w:eastAsia="Times New Roman" w:hAnsiTheme="minorHAnsi"/>
              </w:rPr>
              <w:t>Fuente: Ofrecer un posgrado por facultad a partir de enero de 2016.</w:t>
            </w:r>
            <w:r w:rsidRPr="004515D8">
              <w:rPr>
                <w:rFonts w:asciiTheme="minorHAnsi" w:hAnsiTheme="minorHAnsi"/>
              </w:rPr>
              <w:t>(Vinculada a indicador N°11</w:t>
            </w:r>
            <w:r>
              <w:rPr>
                <w:rFonts w:asciiTheme="minorHAnsi" w:hAnsiTheme="minorHAnsi"/>
              </w:rPr>
              <w:t>4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080684" w:rsidRPr="008B79E6" w:rsidRDefault="00080684" w:rsidP="00142FE8">
            <w:pPr>
              <w:spacing w:after="0" w:line="240" w:lineRule="auto"/>
              <w:rPr>
                <w:b/>
              </w:rPr>
            </w:pPr>
          </w:p>
        </w:tc>
      </w:tr>
      <w:tr w:rsidR="00080684" w:rsidRPr="008B79E6" w:rsidTr="00607310">
        <w:tc>
          <w:tcPr>
            <w:tcW w:w="7054" w:type="dxa"/>
          </w:tcPr>
          <w:p w:rsidR="00080684" w:rsidRPr="00080684" w:rsidRDefault="00080684" w:rsidP="00142FE8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Fuente: </w:t>
            </w:r>
            <w:r w:rsidRPr="00080684">
              <w:rPr>
                <w:rFonts w:asciiTheme="minorHAnsi" w:eastAsia="Times New Roman" w:hAnsiTheme="minorHAnsi"/>
              </w:rPr>
              <w:t>Realizar a lo menos una pasantía por año a partir de enero de 2013.</w:t>
            </w:r>
            <w:r w:rsidRPr="004515D8">
              <w:rPr>
                <w:rFonts w:asciiTheme="minorHAnsi" w:hAnsiTheme="minorHAnsi"/>
              </w:rPr>
              <w:t>(Vinculada a indicador N°11</w:t>
            </w:r>
            <w:r>
              <w:rPr>
                <w:rFonts w:asciiTheme="minorHAnsi" w:hAnsiTheme="minorHAnsi"/>
              </w:rPr>
              <w:t>5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080684" w:rsidRPr="008B79E6" w:rsidRDefault="00080684" w:rsidP="00142FE8">
            <w:pPr>
              <w:spacing w:after="0" w:line="240" w:lineRule="auto"/>
              <w:rPr>
                <w:b/>
              </w:rPr>
            </w:pPr>
          </w:p>
        </w:tc>
      </w:tr>
      <w:tr w:rsidR="00142FE8" w:rsidRPr="008B79E6" w:rsidTr="00607310">
        <w:tc>
          <w:tcPr>
            <w:tcW w:w="7054" w:type="dxa"/>
          </w:tcPr>
          <w:p w:rsidR="00142FE8" w:rsidRDefault="00142FE8" w:rsidP="00142FE8">
            <w:pPr>
              <w:spacing w:after="0" w:line="240" w:lineRule="auto"/>
              <w:rPr>
                <w:rFonts w:asciiTheme="minorHAnsi" w:hAnsiTheme="minorHAnsi"/>
              </w:rPr>
            </w:pPr>
            <w:r w:rsidRPr="00080684">
              <w:rPr>
                <w:rFonts w:asciiTheme="minorHAnsi" w:eastAsia="Times New Roman" w:hAnsiTheme="minorHAnsi"/>
                <w:b/>
              </w:rPr>
              <w:t>Responsable:</w:t>
            </w:r>
            <w:r w:rsidRPr="00142FE8">
              <w:t>Mantener anualmente a lo menos dos profesores visitantes por posgrado, a partir de 2012.</w:t>
            </w:r>
            <w:r w:rsidRPr="004515D8">
              <w:rPr>
                <w:rFonts w:asciiTheme="minorHAnsi" w:hAnsiTheme="minorHAnsi"/>
              </w:rPr>
              <w:t>(Vinculada a indicador N°11</w:t>
            </w:r>
            <w:r>
              <w:rPr>
                <w:rFonts w:asciiTheme="minorHAnsi" w:hAnsiTheme="minorHAnsi"/>
              </w:rPr>
              <w:t>6</w:t>
            </w:r>
            <w:r w:rsidRPr="004515D8">
              <w:rPr>
                <w:rFonts w:asciiTheme="minorHAnsi" w:hAnsiTheme="minorHAnsi"/>
              </w:rPr>
              <w:t>)</w:t>
            </w:r>
          </w:p>
          <w:p w:rsidR="00BC3AFE" w:rsidRPr="00E16FF5" w:rsidRDefault="00BC3AFE" w:rsidP="00142FE8">
            <w:pPr>
              <w:spacing w:after="0" w:line="240" w:lineRule="auto"/>
            </w:pP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142FE8" w:rsidRPr="008B79E6" w:rsidTr="00607310">
        <w:tc>
          <w:tcPr>
            <w:tcW w:w="7054" w:type="dxa"/>
          </w:tcPr>
          <w:p w:rsidR="00142FE8" w:rsidRPr="00E16FF5" w:rsidRDefault="00142FE8" w:rsidP="00142FE8">
            <w:pPr>
              <w:spacing w:after="0" w:line="240" w:lineRule="auto"/>
            </w:pPr>
            <w:r w:rsidRPr="00080684">
              <w:rPr>
                <w:b/>
              </w:rPr>
              <w:lastRenderedPageBreak/>
              <w:t>Responsable:</w:t>
            </w:r>
            <w:r w:rsidRPr="00142FE8">
              <w:t>Incentivar la postulación anual a 3 becas  para alumnos de posgrado a partir del año 2013.</w:t>
            </w:r>
            <w:r w:rsidRPr="004515D8">
              <w:rPr>
                <w:rFonts w:asciiTheme="minorHAnsi" w:hAnsiTheme="minorHAnsi"/>
              </w:rPr>
              <w:t>(Vinculada a indicador N°11</w:t>
            </w:r>
            <w:r>
              <w:rPr>
                <w:rFonts w:asciiTheme="minorHAnsi" w:hAnsiTheme="minorHAnsi"/>
              </w:rPr>
              <w:t>8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142FE8" w:rsidRPr="008B79E6" w:rsidTr="00607310">
        <w:tc>
          <w:tcPr>
            <w:tcW w:w="7054" w:type="dxa"/>
          </w:tcPr>
          <w:p w:rsidR="00142FE8" w:rsidRPr="00E16FF5" w:rsidRDefault="00142FE8" w:rsidP="00142FE8">
            <w:pPr>
              <w:spacing w:after="0" w:line="240" w:lineRule="auto"/>
            </w:pPr>
            <w:r w:rsidRPr="00080684">
              <w:rPr>
                <w:b/>
              </w:rPr>
              <w:t>Responsable:</w:t>
            </w:r>
            <w:r w:rsidRPr="00142FE8">
              <w:t>Ganar a lo menos dos proyectos en el quinquenio.</w:t>
            </w:r>
            <w:r w:rsidR="0005524F" w:rsidRPr="004515D8">
              <w:rPr>
                <w:rFonts w:asciiTheme="minorHAnsi" w:hAnsiTheme="minorHAnsi"/>
              </w:rPr>
              <w:t>(Vinculada a indicador N°11</w:t>
            </w:r>
            <w:r w:rsidR="0005524F">
              <w:rPr>
                <w:rFonts w:asciiTheme="minorHAnsi" w:hAnsiTheme="minorHAnsi"/>
              </w:rPr>
              <w:t>9</w:t>
            </w:r>
            <w:r w:rsidR="0005524F"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142FE8" w:rsidRPr="008B79E6" w:rsidTr="00607310">
        <w:tc>
          <w:tcPr>
            <w:tcW w:w="7054" w:type="dxa"/>
          </w:tcPr>
          <w:p w:rsidR="00142FE8" w:rsidRPr="00E16FF5" w:rsidRDefault="0005524F" w:rsidP="00142FE8">
            <w:pPr>
              <w:spacing w:after="0" w:line="240" w:lineRule="auto"/>
            </w:pPr>
            <w:r w:rsidRPr="00080684">
              <w:rPr>
                <w:b/>
              </w:rPr>
              <w:t>Responsable:</w:t>
            </w:r>
            <w:r w:rsidRPr="0005524F">
              <w:t>Instalar procedimientos de autoevaluación en cada uno de los programas abiertos en base a los criterios de la CNA, a partir de 2013.</w:t>
            </w:r>
            <w:r>
              <w:rPr>
                <w:rFonts w:asciiTheme="minorHAnsi" w:hAnsiTheme="minorHAnsi"/>
              </w:rPr>
              <w:t>(Vinculada a indicador N°120</w:t>
            </w:r>
            <w:r w:rsidRPr="004515D8">
              <w:rPr>
                <w:rFonts w:asciiTheme="minorHAnsi" w:hAnsiTheme="minorHAnsi"/>
              </w:rPr>
              <w:t>)</w:t>
            </w:r>
          </w:p>
        </w:tc>
        <w:tc>
          <w:tcPr>
            <w:tcW w:w="6838" w:type="dxa"/>
          </w:tcPr>
          <w:p w:rsidR="00142FE8" w:rsidRPr="008B79E6" w:rsidRDefault="00142FE8" w:rsidP="00142FE8">
            <w:pPr>
              <w:spacing w:after="0" w:line="240" w:lineRule="auto"/>
              <w:rPr>
                <w:b/>
              </w:rPr>
            </w:pPr>
          </w:p>
        </w:tc>
      </w:tr>
      <w:tr w:rsidR="0005524F" w:rsidRPr="008B79E6" w:rsidTr="00607310">
        <w:tc>
          <w:tcPr>
            <w:tcW w:w="7054" w:type="dxa"/>
          </w:tcPr>
          <w:p w:rsidR="0005524F" w:rsidRPr="00E16FF5" w:rsidRDefault="0005524F" w:rsidP="00142FE8">
            <w:pPr>
              <w:spacing w:after="0" w:line="240" w:lineRule="auto"/>
            </w:pPr>
            <w:r w:rsidRPr="00080684">
              <w:rPr>
                <w:b/>
              </w:rPr>
              <w:t>Responsable:</w:t>
            </w:r>
            <w:r w:rsidRPr="0005524F">
              <w:t>Acreditar el magister en educación el año 2014.</w:t>
            </w:r>
            <w:r>
              <w:rPr>
                <w:rFonts w:asciiTheme="minorHAnsi" w:hAnsiTheme="minorHAnsi"/>
              </w:rPr>
              <w:t>(Vinculada a indicador N°121)</w:t>
            </w:r>
          </w:p>
        </w:tc>
        <w:tc>
          <w:tcPr>
            <w:tcW w:w="6838" w:type="dxa"/>
          </w:tcPr>
          <w:p w:rsidR="0005524F" w:rsidRPr="008B79E6" w:rsidRDefault="0005524F" w:rsidP="00142FE8">
            <w:pPr>
              <w:spacing w:after="0" w:line="240" w:lineRule="auto"/>
              <w:rPr>
                <w:b/>
              </w:rPr>
            </w:pPr>
          </w:p>
        </w:tc>
      </w:tr>
      <w:tr w:rsidR="0005524F" w:rsidRPr="008B79E6" w:rsidTr="00607310">
        <w:tc>
          <w:tcPr>
            <w:tcW w:w="7054" w:type="dxa"/>
          </w:tcPr>
          <w:p w:rsidR="0005524F" w:rsidRPr="00E16FF5" w:rsidRDefault="0005524F" w:rsidP="00142FE8">
            <w:pPr>
              <w:spacing w:after="0" w:line="240" w:lineRule="auto"/>
            </w:pPr>
            <w:r w:rsidRPr="00080684">
              <w:rPr>
                <w:b/>
              </w:rPr>
              <w:t>Responsable:</w:t>
            </w:r>
            <w:r w:rsidRPr="0005524F">
              <w:t>Lograr que el 80% de los alumnos se manifiesten satisfechos respecto de la calidad al término de cada programa.</w:t>
            </w:r>
            <w:r>
              <w:rPr>
                <w:rFonts w:asciiTheme="minorHAnsi" w:hAnsiTheme="minorHAnsi"/>
              </w:rPr>
              <w:t>(Vinculada a indicador N°122)</w:t>
            </w:r>
          </w:p>
        </w:tc>
        <w:tc>
          <w:tcPr>
            <w:tcW w:w="6838" w:type="dxa"/>
          </w:tcPr>
          <w:p w:rsidR="0005524F" w:rsidRPr="008B79E6" w:rsidRDefault="0005524F" w:rsidP="00142FE8">
            <w:pPr>
              <w:spacing w:after="0" w:line="240" w:lineRule="auto"/>
              <w:rPr>
                <w:b/>
              </w:rPr>
            </w:pPr>
          </w:p>
        </w:tc>
      </w:tr>
      <w:tr w:rsidR="0005524F" w:rsidRPr="008B79E6" w:rsidTr="00607310">
        <w:tc>
          <w:tcPr>
            <w:tcW w:w="7054" w:type="dxa"/>
          </w:tcPr>
          <w:p w:rsidR="0005524F" w:rsidRPr="00E16FF5" w:rsidRDefault="0005524F" w:rsidP="00142FE8">
            <w:pPr>
              <w:spacing w:after="0" w:line="240" w:lineRule="auto"/>
            </w:pPr>
            <w:r w:rsidRPr="00080684">
              <w:rPr>
                <w:b/>
              </w:rPr>
              <w:t>Responsable:</w:t>
            </w:r>
            <w:r w:rsidRPr="0005524F">
              <w:t>Implementar un proceso de selección de los postulantes a partir de enero de 2013.</w:t>
            </w:r>
            <w:r>
              <w:rPr>
                <w:rFonts w:asciiTheme="minorHAnsi" w:hAnsiTheme="minorHAnsi"/>
              </w:rPr>
              <w:t>(Vinculada a indicador N°123)</w:t>
            </w:r>
          </w:p>
        </w:tc>
        <w:tc>
          <w:tcPr>
            <w:tcW w:w="6838" w:type="dxa"/>
          </w:tcPr>
          <w:p w:rsidR="0005524F" w:rsidRPr="008B79E6" w:rsidRDefault="0005524F" w:rsidP="00142FE8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BC3AFE" w:rsidRDefault="00BC3AFE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BC3AFE" w:rsidRDefault="00BC3AFE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BC3AFE" w:rsidRDefault="00BC3AFE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BC3AFE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4103CA" w:rsidP="005E7198">
      <w:pPr>
        <w:rPr>
          <w:rFonts w:asciiTheme="minorHAnsi" w:hAnsiTheme="minorHAnsi"/>
          <w:b/>
          <w:lang w:val="es-CL"/>
        </w:rPr>
      </w:pPr>
      <w:r w:rsidRPr="004103CA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6772DE" w:rsidRDefault="006772DE" w:rsidP="005E7198">
      <w:pPr>
        <w:spacing w:after="0"/>
        <w:rPr>
          <w:rFonts w:asciiTheme="minorHAnsi" w:hAnsiTheme="minorHAnsi"/>
          <w:b/>
        </w:rPr>
      </w:pPr>
    </w:p>
    <w:p w:rsidR="006772DE" w:rsidRDefault="006772DE" w:rsidP="005E7198">
      <w:pPr>
        <w:spacing w:after="0"/>
        <w:rPr>
          <w:rFonts w:asciiTheme="minorHAnsi" w:hAnsiTheme="minorHAnsi"/>
          <w:b/>
        </w:rPr>
      </w:pPr>
    </w:p>
    <w:p w:rsidR="006772DE" w:rsidRDefault="006772DE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/>
          <w:b/>
        </w:rPr>
        <w:t>TABLA N°</w:t>
      </w:r>
      <w:r w:rsidR="00900069">
        <w:rPr>
          <w:rFonts w:asciiTheme="minorHAnsi" w:hAnsiTheme="minorHAnsi"/>
          <w:b/>
        </w:rPr>
        <w:t>4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</w:tbl>
    <w:p w:rsidR="00BC3AFE" w:rsidRDefault="00BC3AFE"/>
    <w:p w:rsidR="00BC3AFE" w:rsidRDefault="00BC3AFE"/>
    <w:p w:rsidR="00BC3AFE" w:rsidRDefault="00BC3AFE"/>
    <w:p w:rsidR="00BC3AFE" w:rsidRDefault="00BC3AFE"/>
    <w:p w:rsidR="00BC3AFE" w:rsidRDefault="00BC3AFE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4103CA" w:rsidP="005E7198">
      <w:pPr>
        <w:rPr>
          <w:rFonts w:asciiTheme="minorHAnsi" w:hAnsiTheme="minorHAnsi"/>
          <w:b/>
        </w:rPr>
      </w:pPr>
      <w:r w:rsidRPr="004103CA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N°5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6772DE">
        <w:rPr>
          <w:rFonts w:asciiTheme="minorHAnsi" w:hAnsiTheme="minorHAnsi"/>
          <w:b/>
        </w:rPr>
        <w:t xml:space="preserve"> DE LA DIRECCIÓN DE POSGRADO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N°6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BC3AFE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BC3AFE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BC3AFE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BC3AFE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BC3AFE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BC3AFE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774" w:rsidRDefault="004F2774" w:rsidP="00F321DC">
      <w:pPr>
        <w:spacing w:after="0" w:line="240" w:lineRule="auto"/>
      </w:pPr>
      <w:r>
        <w:separator/>
      </w:r>
    </w:p>
  </w:endnote>
  <w:endnote w:type="continuationSeparator" w:id="1">
    <w:p w:rsidR="004F2774" w:rsidRDefault="004F2774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392386" w:rsidRDefault="004103CA">
        <w:pPr>
          <w:pStyle w:val="Piedepgina"/>
          <w:jc w:val="right"/>
        </w:pPr>
        <w:r>
          <w:fldChar w:fldCharType="begin"/>
        </w:r>
        <w:r w:rsidR="00392386">
          <w:instrText xml:space="preserve"> PAGE   \* MERGEFORMAT </w:instrText>
        </w:r>
        <w:r>
          <w:fldChar w:fldCharType="separate"/>
        </w:r>
        <w:r w:rsidR="00BC3AF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392386" w:rsidRDefault="0039238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774" w:rsidRDefault="004F2774" w:rsidP="00F321DC">
      <w:pPr>
        <w:spacing w:after="0" w:line="240" w:lineRule="auto"/>
      </w:pPr>
      <w:r>
        <w:separator/>
      </w:r>
    </w:p>
  </w:footnote>
  <w:footnote w:type="continuationSeparator" w:id="1">
    <w:p w:rsidR="004F2774" w:rsidRDefault="004F2774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386" w:rsidRDefault="00392386">
    <w:pPr>
      <w:pStyle w:val="Encabezado"/>
    </w:pPr>
  </w:p>
  <w:p w:rsidR="00392386" w:rsidRDefault="0039238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386" w:rsidRDefault="00392386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772DE" w:rsidRDefault="00BC3AFE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392386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392386" w:rsidRPr="00AC3CE7" w:rsidRDefault="00392386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034B6"/>
    <w:rsid w:val="00017E5E"/>
    <w:rsid w:val="00022504"/>
    <w:rsid w:val="00030CB8"/>
    <w:rsid w:val="000311EE"/>
    <w:rsid w:val="0003471B"/>
    <w:rsid w:val="000365E4"/>
    <w:rsid w:val="00044ABE"/>
    <w:rsid w:val="00053E65"/>
    <w:rsid w:val="0005524F"/>
    <w:rsid w:val="00070B01"/>
    <w:rsid w:val="0007272E"/>
    <w:rsid w:val="0007609F"/>
    <w:rsid w:val="00080684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42FE8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35356"/>
    <w:rsid w:val="00365784"/>
    <w:rsid w:val="0037336F"/>
    <w:rsid w:val="00392386"/>
    <w:rsid w:val="003A4137"/>
    <w:rsid w:val="003B18F2"/>
    <w:rsid w:val="003D1AC6"/>
    <w:rsid w:val="003D696D"/>
    <w:rsid w:val="003F2716"/>
    <w:rsid w:val="003F4E9C"/>
    <w:rsid w:val="0040315D"/>
    <w:rsid w:val="004103CA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E269B"/>
    <w:rsid w:val="004E62A1"/>
    <w:rsid w:val="004E6A1D"/>
    <w:rsid w:val="004F2774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07310"/>
    <w:rsid w:val="00630A68"/>
    <w:rsid w:val="006376F4"/>
    <w:rsid w:val="0064558F"/>
    <w:rsid w:val="00655918"/>
    <w:rsid w:val="00665501"/>
    <w:rsid w:val="006675EA"/>
    <w:rsid w:val="006772DE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133E"/>
    <w:rsid w:val="008544A8"/>
    <w:rsid w:val="00872C7F"/>
    <w:rsid w:val="0089017A"/>
    <w:rsid w:val="008B79E6"/>
    <w:rsid w:val="008C3F6C"/>
    <w:rsid w:val="008D7902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360EA"/>
    <w:rsid w:val="00A44D01"/>
    <w:rsid w:val="00A56AFB"/>
    <w:rsid w:val="00A56C4C"/>
    <w:rsid w:val="00A62CA9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C3AFE"/>
    <w:rsid w:val="00BE27F9"/>
    <w:rsid w:val="00BF79F9"/>
    <w:rsid w:val="00BF7FF8"/>
    <w:rsid w:val="00C02A51"/>
    <w:rsid w:val="00C21475"/>
    <w:rsid w:val="00C42563"/>
    <w:rsid w:val="00C5481C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IV.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57205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751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8DD788DF-4755-4825-8DC3-AAE76CAD636B}" type="presOf" srcId="{9AB012B8-2013-450E-9838-0C28222136BD}" destId="{91D06AA7-979D-43BF-B212-107FACA35ABA}" srcOrd="0" destOrd="1" presId="urn:microsoft.com/office/officeart/2005/8/layout/vList4#7"/>
    <dgm:cxn modelId="{7F8BFB37-4640-4474-97BB-FF95F9A0A590}" type="presOf" srcId="{6AA3FB31-4991-444D-A81C-0248C1DD88DC}" destId="{99B4252B-8A91-4748-9825-EE88056880A2}" srcOrd="0" destOrd="0" presId="urn:microsoft.com/office/officeart/2005/8/layout/vList4#7"/>
    <dgm:cxn modelId="{AB8FE9C9-5675-49B1-A820-36628E241626}" type="presOf" srcId="{9AB012B8-2013-450E-9838-0C28222136BD}" destId="{E6F352DB-CD87-4918-9AD7-E42C47D5DCDD}" srcOrd="1" destOrd="1" presId="urn:microsoft.com/office/officeart/2005/8/layout/vList4#7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0D5EDDC-BA0E-4FC0-832B-4890CA00056E}" type="presOf" srcId="{F9C1ABE1-9CC1-4B98-9F18-448C386F07BB}" destId="{9AEAC8AE-0E2F-4013-B60E-3514410A1D49}" srcOrd="1" destOrd="0" presId="urn:microsoft.com/office/officeart/2005/8/layout/vList4#7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9109D9F8-DFD6-442B-8B79-2C7B792CC911}" type="presOf" srcId="{C1EAD699-C332-4768-9340-40BA75436597}" destId="{91D06AA7-979D-43BF-B212-107FACA35ABA}" srcOrd="0" destOrd="0" presId="urn:microsoft.com/office/officeart/2005/8/layout/vList4#7"/>
    <dgm:cxn modelId="{FF8D2839-E3A4-4508-88A8-61B26105C325}" type="presOf" srcId="{F9C1ABE1-9CC1-4B98-9F18-448C386F07BB}" destId="{D7C1CED6-C28A-44AA-A56E-8BF9F93A5C63}" srcOrd="0" destOrd="0" presId="urn:microsoft.com/office/officeart/2005/8/layout/vList4#7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28C6E3EB-4E05-49C5-9110-AADF46AFBF89}" type="presOf" srcId="{C1EAD699-C332-4768-9340-40BA75436597}" destId="{E6F352DB-CD87-4918-9AD7-E42C47D5DCDD}" srcOrd="1" destOrd="0" presId="urn:microsoft.com/office/officeart/2005/8/layout/vList4#7"/>
    <dgm:cxn modelId="{B314346C-3981-4784-9D65-E560B1F52733}" type="presOf" srcId="{7D736F56-5E7C-4165-A439-DB85FF57B667}" destId="{0F1D83A8-E96B-4ED1-86DB-8974815ECD30}" srcOrd="1" destOrd="0" presId="urn:microsoft.com/office/officeart/2005/8/layout/vList4#7"/>
    <dgm:cxn modelId="{1D5C5472-E9E5-460C-8398-9EB12B17FB92}" type="presOf" srcId="{7D736F56-5E7C-4165-A439-DB85FF57B667}" destId="{881537AB-96C8-465C-B9F2-F14F4D5B2C60}" srcOrd="0" destOrd="0" presId="urn:microsoft.com/office/officeart/2005/8/layout/vList4#7"/>
    <dgm:cxn modelId="{D6FD5076-E36B-4A66-8F7D-C1A18EF798C7}" type="presParOf" srcId="{99B4252B-8A91-4748-9825-EE88056880A2}" destId="{18D71F07-69E2-4CBD-9C2B-B76CB06075E4}" srcOrd="0" destOrd="0" presId="urn:microsoft.com/office/officeart/2005/8/layout/vList4#7"/>
    <dgm:cxn modelId="{FE5B2223-A6D7-4D76-9FEF-7DFA8CC1302B}" type="presParOf" srcId="{18D71F07-69E2-4CBD-9C2B-B76CB06075E4}" destId="{91D06AA7-979D-43BF-B212-107FACA35ABA}" srcOrd="0" destOrd="0" presId="urn:microsoft.com/office/officeart/2005/8/layout/vList4#7"/>
    <dgm:cxn modelId="{152A9853-2726-4FDE-A799-3567DA0FFA12}" type="presParOf" srcId="{18D71F07-69E2-4CBD-9C2B-B76CB06075E4}" destId="{35BD51C7-13ED-46EC-99EB-69C6A5C7F517}" srcOrd="1" destOrd="0" presId="urn:microsoft.com/office/officeart/2005/8/layout/vList4#7"/>
    <dgm:cxn modelId="{A3B5AFBF-DCC9-4FFD-B473-B2FE3443506B}" type="presParOf" srcId="{18D71F07-69E2-4CBD-9C2B-B76CB06075E4}" destId="{E6F352DB-CD87-4918-9AD7-E42C47D5DCDD}" srcOrd="2" destOrd="0" presId="urn:microsoft.com/office/officeart/2005/8/layout/vList4#7"/>
    <dgm:cxn modelId="{03272263-53B1-4BD1-AE13-B852420572CC}" type="presParOf" srcId="{99B4252B-8A91-4748-9825-EE88056880A2}" destId="{25D340C1-1622-45D0-80D0-BE9A0913DD9F}" srcOrd="1" destOrd="0" presId="urn:microsoft.com/office/officeart/2005/8/layout/vList4#7"/>
    <dgm:cxn modelId="{F598A3AA-0AF6-44AF-8B5B-F1979F38C5E2}" type="presParOf" srcId="{99B4252B-8A91-4748-9825-EE88056880A2}" destId="{BA1BFBF2-4F25-435A-8168-D27DD89DBDA9}" srcOrd="2" destOrd="0" presId="urn:microsoft.com/office/officeart/2005/8/layout/vList4#7"/>
    <dgm:cxn modelId="{DBFFA532-DC7B-44A7-83D3-12CBA2584342}" type="presParOf" srcId="{BA1BFBF2-4F25-435A-8168-D27DD89DBDA9}" destId="{881537AB-96C8-465C-B9F2-F14F4D5B2C60}" srcOrd="0" destOrd="0" presId="urn:microsoft.com/office/officeart/2005/8/layout/vList4#7"/>
    <dgm:cxn modelId="{B310A683-5830-438F-9565-C246F128818A}" type="presParOf" srcId="{BA1BFBF2-4F25-435A-8168-D27DD89DBDA9}" destId="{4FA255E2-8701-4F4E-995A-B6AF0629C9A7}" srcOrd="1" destOrd="0" presId="urn:microsoft.com/office/officeart/2005/8/layout/vList4#7"/>
    <dgm:cxn modelId="{B64B898E-3C2D-4F30-AF6C-F372EA3AB78B}" type="presParOf" srcId="{BA1BFBF2-4F25-435A-8168-D27DD89DBDA9}" destId="{0F1D83A8-E96B-4ED1-86DB-8974815ECD30}" srcOrd="2" destOrd="0" presId="urn:microsoft.com/office/officeart/2005/8/layout/vList4#7"/>
    <dgm:cxn modelId="{3E62AE15-15B3-4792-ADC9-11B17A7E8FEA}" type="presParOf" srcId="{99B4252B-8A91-4748-9825-EE88056880A2}" destId="{D747FC36-A6F5-4493-8FCA-3E90F496E8C8}" srcOrd="3" destOrd="0" presId="urn:microsoft.com/office/officeart/2005/8/layout/vList4#7"/>
    <dgm:cxn modelId="{D1DCACEF-1203-4E1F-9930-B20475A49BFB}" type="presParOf" srcId="{99B4252B-8A91-4748-9825-EE88056880A2}" destId="{93142622-88A7-4214-9224-299B0A579FEF}" srcOrd="4" destOrd="0" presId="urn:microsoft.com/office/officeart/2005/8/layout/vList4#7"/>
    <dgm:cxn modelId="{5434DA39-62FF-44D6-B014-3AF0A8105371}" type="presParOf" srcId="{93142622-88A7-4214-9224-299B0A579FEF}" destId="{D7C1CED6-C28A-44AA-A56E-8BF9F93A5C63}" srcOrd="0" destOrd="0" presId="urn:microsoft.com/office/officeart/2005/8/layout/vList4#7"/>
    <dgm:cxn modelId="{5646B156-C5CF-40A1-AD64-4C983C893837}" type="presParOf" srcId="{93142622-88A7-4214-9224-299B0A579FEF}" destId="{2696C48F-B82C-47DA-BF9F-BEF13567D525}" srcOrd="1" destOrd="0" presId="urn:microsoft.com/office/officeart/2005/8/layout/vList4#7"/>
    <dgm:cxn modelId="{969F03D0-DF4D-4D76-AEC9-E02C228E6969}" type="presParOf" srcId="{93142622-88A7-4214-9224-299B0A579FEF}" destId="{9AEAC8AE-0E2F-4013-B60E-3514410A1D49}" srcOrd="2" destOrd="0" presId="urn:microsoft.com/office/officeart/2005/8/layout/vList4#7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4486"/>
          <a:ext cx="8258175" cy="13636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90012" y="34486"/>
        <a:ext cx="6368162" cy="1363636"/>
      </dsp:txXfrm>
    </dsp:sp>
    <dsp:sp modelId="{35BD51C7-13ED-46EC-99EB-69C6A5C7F517}">
      <dsp:nvSpPr>
        <dsp:cNvPr id="0" name=""/>
        <dsp:cNvSpPr/>
      </dsp:nvSpPr>
      <dsp:spPr>
        <a:xfrm>
          <a:off x="238377" y="0"/>
          <a:ext cx="1651635" cy="143260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711714"/>
          <a:ext cx="8258175" cy="12936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90012" y="1711714"/>
        <a:ext cx="6368162" cy="1293672"/>
      </dsp:txXfrm>
    </dsp:sp>
    <dsp:sp modelId="{4FA255E2-8701-4F4E-995A-B6AF0629C9A7}">
      <dsp:nvSpPr>
        <dsp:cNvPr id="0" name=""/>
        <dsp:cNvSpPr/>
      </dsp:nvSpPr>
      <dsp:spPr>
        <a:xfrm>
          <a:off x="238377" y="1670985"/>
          <a:ext cx="1651635" cy="137513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357457"/>
          <a:ext cx="8258175" cy="134985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90012" y="3357457"/>
        <a:ext cx="6368162" cy="1349857"/>
      </dsp:txXfrm>
    </dsp:sp>
    <dsp:sp modelId="{2696C48F-B82C-47DA-BF9F-BEF13567D525}">
      <dsp:nvSpPr>
        <dsp:cNvPr id="0" name=""/>
        <dsp:cNvSpPr/>
      </dsp:nvSpPr>
      <dsp:spPr>
        <a:xfrm>
          <a:off x="333379" y="3284492"/>
          <a:ext cx="1461630" cy="149578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7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19</Pages>
  <Words>2406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96</cp:revision>
  <cp:lastPrinted>2012-03-06T18:10:00Z</cp:lastPrinted>
  <dcterms:created xsi:type="dcterms:W3CDTF">2012-01-25T14:17:00Z</dcterms:created>
  <dcterms:modified xsi:type="dcterms:W3CDTF">2012-12-17T12:57:00Z</dcterms:modified>
</cp:coreProperties>
</file>