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AC3CE7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DECANOS FACULTADES</w:t>
      </w:r>
    </w:p>
    <w:p w:rsidR="00AC3CE7" w:rsidRPr="005F7F41" w:rsidRDefault="00F2716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Facultad de: </w:t>
      </w:r>
    </w:p>
    <w:p w:rsidR="00AC3CE7" w:rsidRPr="005F7F41" w:rsidRDefault="00AC3CE7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Decano: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CB1A0C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 xml:space="preserve">, corresponderá a la realidad de su facultad 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 xml:space="preserve"> 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F27161">
        <w:rPr>
          <w:lang w:val="es-CL"/>
        </w:rPr>
        <w:t xml:space="preserve">directores </w:t>
      </w:r>
      <w:r w:rsidRPr="00934BF5">
        <w:rPr>
          <w:lang w:val="es-CL"/>
        </w:rPr>
        <w:t xml:space="preserve"> de </w:t>
      </w:r>
      <w:r w:rsidR="00F27161">
        <w:rPr>
          <w:lang w:val="es-CL"/>
        </w:rPr>
        <w:t>las carreras de su facultad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facultad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Académico, para que </w:t>
      </w:r>
      <w:r w:rsidRPr="00934BF5">
        <w:rPr>
          <w:lang w:val="es-CL"/>
        </w:rPr>
        <w:t xml:space="preserve">junto con los ciclos de las otras facultades,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>cada trimestre en una sesión del consejo académico.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D01C7D" w:rsidP="00D01C7D">
      <w:pPr>
        <w:jc w:val="both"/>
        <w:rPr>
          <w:rFonts w:asciiTheme="minorHAnsi" w:hAnsiTheme="minorHAnsi"/>
          <w:b/>
          <w:lang w:val="es-CL"/>
        </w:rPr>
      </w:pPr>
      <w:r w:rsidRPr="00934BF5">
        <w:rPr>
          <w:rFonts w:asciiTheme="minorHAnsi" w:hAnsiTheme="minorHAnsi"/>
          <w:b/>
          <w:lang w:val="es-CL"/>
        </w:rPr>
        <w:t>Las tablas que debe llenar para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 xml:space="preserve">de las facultades 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las facultades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Pr="00934BF5" w:rsidRDefault="00D73545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 w:rsidRPr="00934BF5">
        <w:rPr>
          <w:rFonts w:asciiTheme="minorHAnsi" w:hAnsiTheme="minorHAnsi"/>
          <w:lang w:val="es-CL"/>
        </w:rPr>
        <w:t xml:space="preserve">Basado en los </w:t>
      </w:r>
      <w:r>
        <w:rPr>
          <w:rFonts w:asciiTheme="minorHAnsi" w:hAnsiTheme="minorHAnsi"/>
          <w:lang w:val="es-CL"/>
        </w:rPr>
        <w:t>planes de trabajo</w:t>
      </w:r>
      <w:r w:rsidRPr="00934BF5">
        <w:rPr>
          <w:rFonts w:asciiTheme="minorHAnsi" w:hAnsiTheme="minorHAnsi"/>
          <w:lang w:val="es-CL"/>
        </w:rPr>
        <w:t xml:space="preserve"> de los ciclos de calidad de las carreras de su facultad, recoger los desafíos que resultan transversales entre t</w:t>
      </w:r>
      <w:r>
        <w:rPr>
          <w:rFonts w:asciiTheme="minorHAnsi" w:hAnsiTheme="minorHAnsi"/>
          <w:lang w:val="es-CL"/>
        </w:rPr>
        <w:t>odas las carreras</w:t>
      </w:r>
      <w:r w:rsidRPr="00934BF5">
        <w:rPr>
          <w:rFonts w:asciiTheme="minorHAnsi" w:hAnsiTheme="minorHAnsi"/>
          <w:lang w:val="es-CL"/>
        </w:rPr>
        <w:t xml:space="preserve"> y también aquellos</w:t>
      </w:r>
      <w:r>
        <w:rPr>
          <w:rFonts w:asciiTheme="minorHAnsi" w:hAnsiTheme="minorHAnsi"/>
          <w:lang w:val="es-CL"/>
        </w:rPr>
        <w:t xml:space="preserve"> desafíos</w:t>
      </w:r>
      <w:r w:rsidRPr="00934BF5">
        <w:rPr>
          <w:rFonts w:asciiTheme="minorHAnsi" w:hAnsiTheme="minorHAnsi"/>
          <w:lang w:val="es-CL"/>
        </w:rPr>
        <w:t xml:space="preserve"> particulares de importancia. </w:t>
      </w:r>
      <w:r w:rsidRPr="00934BF5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934BF5">
        <w:rPr>
          <w:rFonts w:asciiTheme="minorHAnsi" w:hAnsiTheme="minorHAnsi"/>
          <w:b/>
          <w:lang w:val="es-CL"/>
        </w:rPr>
        <w:t>)</w:t>
      </w:r>
    </w:p>
    <w:p w:rsidR="002B5CA2" w:rsidRDefault="002B5CA2" w:rsidP="003F4E9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 w:rsidR="00D73545">
        <w:rPr>
          <w:rFonts w:asciiTheme="minorHAnsi" w:hAnsiTheme="minorHAnsi"/>
          <w:b/>
          <w:lang w:val="es-CL"/>
        </w:rPr>
        <w:t>5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 de la facultad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D73545"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Pr="00D73545" w:rsidRDefault="00D73545" w:rsidP="00D73545">
      <w:pPr>
        <w:jc w:val="both"/>
        <w:rPr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B80212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B80212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7E63CF" w:rsidRDefault="007E63C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FACULTAD 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1D66D3" w:rsidRPr="00934BF5" w:rsidRDefault="001D66D3" w:rsidP="00B478CD">
      <w:pPr>
        <w:rPr>
          <w:rFonts w:asciiTheme="minorHAnsi" w:hAnsiTheme="minorHAnsi"/>
          <w:b/>
        </w:rPr>
      </w:pPr>
    </w:p>
    <w:p w:rsidR="00C21475" w:rsidRDefault="00C21475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ayout w:type="fixed"/>
        <w:tblLook w:val="04A0"/>
      </w:tblPr>
      <w:tblGrid>
        <w:gridCol w:w="2658"/>
        <w:gridCol w:w="2694"/>
        <w:gridCol w:w="2694"/>
        <w:gridCol w:w="2834"/>
        <w:gridCol w:w="1703"/>
        <w:gridCol w:w="1700"/>
      </w:tblGrid>
      <w:tr w:rsidR="00F5597D" w:rsidRPr="00934BF5" w:rsidTr="00F5597D">
        <w:trPr>
          <w:cnfStyle w:val="100000000000"/>
          <w:trHeight w:val="454"/>
        </w:trPr>
        <w:tc>
          <w:tcPr>
            <w:cnfStyle w:val="001000000000"/>
            <w:tcW w:w="931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96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95" w:type="pct"/>
            <w:shd w:val="clear" w:color="auto" w:fill="8DB3E2" w:themeFill="text2" w:themeFillTint="66"/>
          </w:tcPr>
          <w:p w:rsidR="00F5597D" w:rsidRDefault="00F5597D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Nivel de Logro</w:t>
            </w:r>
          </w:p>
          <w:p w:rsidR="002C3D2F" w:rsidRPr="00934BF5" w:rsidRDefault="002C3D2F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F6941">
              <w:rPr>
                <w:rFonts w:asciiTheme="minorHAnsi" w:hAnsiTheme="minorHAnsi" w:cs="Calibri"/>
              </w:rPr>
              <w:t>(L, ML, NL)</w:t>
            </w:r>
          </w:p>
        </w:tc>
      </w:tr>
      <w:tr w:rsidR="00F5597D" w:rsidRPr="00934BF5" w:rsidTr="00F5597D">
        <w:trPr>
          <w:cnfStyle w:val="000000100000"/>
          <w:trHeight w:val="66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68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tabs>
                <w:tab w:val="left" w:pos="1276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>Equipamiento de Salas de clases con equipos multimedia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 xml:space="preserve">Adquirir    equipos multimedia  para las salas de clases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>El 100% de los equipos multimedia existentes, utilizados para la realización de clases inventariados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equipos multimedia destinados a salas inventariado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96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 xml:space="preserve">Bibliografía especializada para las diferentes asignaturas de acuerdo a los requerimientos de los académicos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Incrementar la cantidad de bibliografía especializada según requerimiento de los académicos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Que el 100% de los directores de carrera presenten al decano respectivo los requerimientos bibliográficos para el año.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directores de carreras que presentan requerimientos bibliográficos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En enero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96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Adquisición de bibliografía priorizada según presupuesto de la decanatura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Nómina priorizada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556"/>
        </w:trPr>
        <w:tc>
          <w:tcPr>
            <w:cnfStyle w:val="001000000000"/>
            <w:tcW w:w="931" w:type="pct"/>
          </w:tcPr>
          <w:p w:rsidR="00F5597D" w:rsidRPr="00934BF5" w:rsidRDefault="00F5597D" w:rsidP="00BF7FF8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934BF5">
              <w:rPr>
                <w:rFonts w:asciiTheme="minorHAnsi" w:hAnsiTheme="minorHAnsi"/>
                <w:b w:val="0"/>
              </w:rPr>
              <w:t xml:space="preserve">Fortalecer los procedimientos del sistema de control y </w:t>
            </w:r>
            <w:r w:rsidRPr="00934BF5">
              <w:rPr>
                <w:rFonts w:asciiTheme="minorHAnsi" w:hAnsiTheme="minorHAnsi"/>
                <w:b w:val="0"/>
              </w:rPr>
              <w:lastRenderedPageBreak/>
              <w:t>aseguramiento de la Calidad (SCAC)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Realizar seguimiento de los planes de mejora de las unidades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765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6B50CF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lastRenderedPageBreak/>
              <w:t xml:space="preserve">Fortalecer mecanismos para renovar los recursos físicos y materiales de apoyo a la docencia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inventario de los recursos materiales y físicos de apoyo a la docencia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Inventariar el 100 % de  los materiales  de apoyo a la docencia 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materiales inventariados por  unidades académicas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Junio 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765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Ejecutar PRR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Ejecutar el 100% de los procedimientos del PRR por cada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los procedimientos ejecutados por cada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partir del segundo semestre del año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/>
                <w:b w:val="0"/>
                <w:bCs w:val="0"/>
                <w:lang w:val="es-CL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Aumentar los especialistas en la docencia de las diferentes asignaturas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Definir las necesidades de especialización por carreras y facultades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El 100% de las carreras y facultades, defina las necesidades de especialización  existente.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y facultades que definen  necesidades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Septiembre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Prrafodelista"/>
              <w:ind w:left="0"/>
              <w:rPr>
                <w:rFonts w:asciiTheme="minorHAnsi" w:hAnsiTheme="minorHAnsi" w:cs="Arial"/>
                <w:b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>Conexión de los docentes con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Establecer convenio de pasantía de 1 a 3 semanas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lo menos  dos convenios establecidos por 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convenios establecidos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Prrafodelista"/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Realizar intercambio con profesionales que desempeñan actividades en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 lo menos un intercambio  anual por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intercambios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2013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422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rPr>
                <w:rFonts w:asciiTheme="minorHAnsi" w:eastAsia="Calibri" w:hAnsiTheme="minorHAnsi" w:cs="Arial"/>
                <w:b w:val="0"/>
                <w:bCs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Entregar los resultados y Retroalimentar a los académicos los resultados de la evaluación docentes.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en conocimiento de los resultados de su evaluación.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% de docentes que recibe su autoevaluación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Antes de iniciar el año académico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268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retroalimentado por su jefe directo.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100000"/>
          <w:trHeight w:val="125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Socializar con los alumnos de cada Facultad los resultados de la evaluación docente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Una reunión anual realizada en cada Facultad para socializar los resultados de la evaluación docente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Reunión realizada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A junio de cada año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87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titulación.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solución. </w:t>
            </w:r>
          </w:p>
        </w:tc>
        <w:tc>
          <w:tcPr>
            <w:tcW w:w="943" w:type="pct"/>
          </w:tcPr>
          <w:p w:rsidR="00F5597D" w:rsidRPr="00934BF5" w:rsidRDefault="00F5597D" w:rsidP="006B50CF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estudios.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identificadas.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  <w:tr w:rsidR="00F5597D" w:rsidRPr="00934BF5" w:rsidTr="00F5597D">
        <w:trPr>
          <w:cnfStyle w:val="000000100000"/>
          <w:trHeight w:val="98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F0079C" w:rsidRDefault="00F0079C" w:rsidP="00AC7B70"/>
    <w:p w:rsidR="00F0079C" w:rsidRDefault="00F0079C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376F4" w:rsidRDefault="006376F4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6804"/>
      </w:tblGrid>
      <w:tr w:rsidR="008E61E1" w:rsidRPr="00934BF5" w:rsidTr="008E61E1">
        <w:tc>
          <w:tcPr>
            <w:tcW w:w="7338" w:type="dxa"/>
            <w:shd w:val="clear" w:color="auto" w:fill="8DB3E2" w:themeFill="text2" w:themeFillTint="66"/>
          </w:tcPr>
          <w:p w:rsidR="008E61E1" w:rsidRPr="00723F47" w:rsidRDefault="008E61E1" w:rsidP="00723F4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723F47">
              <w:rPr>
                <w:b/>
                <w:color w:val="000000" w:themeColor="text1"/>
              </w:rPr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8E61E1" w:rsidRPr="00934BF5" w:rsidRDefault="008E61E1" w:rsidP="00B71912">
            <w:pPr>
              <w:spacing w:after="0" w:line="240" w:lineRule="auto"/>
              <w:jc w:val="center"/>
              <w:rPr>
                <w:b/>
              </w:rPr>
            </w:pPr>
            <w:r w:rsidRPr="00934BF5">
              <w:rPr>
                <w:b/>
              </w:rPr>
              <w:t>Nivel de logro(L,ML,NL)</w:t>
            </w: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Revisar y reformular los  programas de </w:t>
            </w:r>
            <w:r w:rsidRPr="00934BF5">
              <w:rPr>
                <w:rFonts w:cs="Calibri"/>
              </w:rPr>
              <w:t xml:space="preserve"> jornadas de reflexión</w:t>
            </w:r>
            <w:r w:rsidRPr="00934BF5">
              <w:t xml:space="preserve">  para alumnos en marzo de 2012</w:t>
            </w:r>
            <w:r>
              <w:t>. (Vinculada a indicador N°9)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Incentivar al alumnado a participar de las jornadas de reflexión</w:t>
            </w:r>
            <w:r>
              <w:t>. (Vinculada a indicador N°10)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Acompañar los retiros espirituales de las carreras  a partir del año 2012</w:t>
            </w:r>
            <w:r>
              <w:t>. (Vinculada a indicador N°13)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Crear grupos de Koinonías por facultades a partir del 2013</w:t>
            </w:r>
            <w:r>
              <w:t>. (Vinculada a indicador N°16)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Organizar al menos un grupo de voluntariado por facultad a partir del año 2013.</w:t>
            </w:r>
            <w:r>
              <w:t xml:space="preserve"> (Vinculada a indicador N°17)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Implementar tutorías espirituales por nivel académico a partir de marzo del 2013.</w:t>
            </w:r>
            <w:r>
              <w:t xml:space="preserve"> (Vinculada a indicador N°18)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Lograr la participación de a lo menos el 80% de las carreras a partir del año 2012</w:t>
            </w:r>
            <w:r>
              <w:t>. (Vinculada a indicador N°29)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los postulados y premisas con el 80% de los docentes a junio del  2012.</w:t>
            </w:r>
            <w:r>
              <w:t xml:space="preserve"> (Vinculada a indicador N°31)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80% de los docentes al 30 de diciembre de 2012</w:t>
            </w:r>
            <w:r>
              <w:t>. (Vinculada a indicador N°33)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60% de los alumnos al 30 de diciembre de 2012</w:t>
            </w:r>
            <w:r>
              <w:t>. (Vinculada a indicador N°34)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 la  caracterización del currículo institucional  aprobado, al 80% de los docentes al 30 de diciembre del año 2012</w:t>
            </w:r>
            <w:r>
              <w:t>. (Vinculada a indicador N°36)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Realizar a partir del 2012: 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cursos de actualización por año.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lastRenderedPageBreak/>
              <w:t>-4 talleres de actualización por año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charlas por año</w:t>
            </w:r>
            <w:r>
              <w:t>. (Vinculada a indicador N°37, 38, 39)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814B2A">
            <w:pPr>
              <w:pStyle w:val="Prrafodelista"/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Socializar  las políticas para asignación de carga académica al 80% de los docentes a Agosto de 2012</w:t>
            </w:r>
            <w:r>
              <w:t>. (Vinculada a indicador N°41)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A1728B">
            <w:pPr>
              <w:pStyle w:val="Prrafodelista"/>
              <w:spacing w:after="0" w:line="240" w:lineRule="auto"/>
              <w:ind w:left="14"/>
            </w:pPr>
            <w:r w:rsidRPr="00934BF5">
              <w:t>F</w:t>
            </w:r>
            <w:r>
              <w:t xml:space="preserve">uente: </w:t>
            </w:r>
            <w:r w:rsidRPr="00934BF5">
              <w:t>Incrementar en un 10% anual (base año 2011) el presupuesto de perfe</w:t>
            </w:r>
            <w:r w:rsidR="00723F47">
              <w:t>ccionamiento para el quinquenio</w:t>
            </w:r>
            <w:r>
              <w:t>. (Vinculada a indicador N°43)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Alcanzar el 70% de docentes con posgrado en el quinquenio</w:t>
            </w:r>
            <w:r>
              <w:t>. (Vinculada a indicador N°44)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Distribuir en forma anual los fondos asignados en conformidad con las necesidades de las diversas unidades académicas a diciembre de cada año.</w:t>
            </w:r>
            <w:r>
              <w:t xml:space="preserve"> (Vinculada a indicador N°45)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reglamento del académico actualizado. Marzo 2013</w:t>
            </w:r>
            <w:r>
              <w:t>. (Vinculada a indicador N°47)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Crear el sistema de seguimiento a la calidad docente a diciembre del 2012</w:t>
            </w:r>
            <w:r>
              <w:t>. (Vinculada a indicador N°48)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 sistema de seguimiento a la calidad docente a partir de marzo del 2013</w:t>
            </w:r>
            <w:r>
              <w:t xml:space="preserve"> (Vinculada a indicador N°49)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Socializar el modelo educativo  con el 80% de los docentes nuevos al 2013</w:t>
            </w:r>
            <w:r>
              <w:t>. (Vinculada a indicador N°50)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6376F4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Aumentar a un 70% de docentes de jornada completa y media jornada al término del quinquenio</w:t>
            </w:r>
            <w:r>
              <w:t>. (Vinculada a indicador N°51)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Alcanzar un 60% de participación docente en reuniones de claustro y consejo de carrera en el quinquenio</w:t>
            </w:r>
            <w:r>
              <w:t>. (Vinculada a indicador N°52)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Alcanzar un 80% de docentes que ponen en práctica los principios pedagógicos del modelo educativo</w:t>
            </w:r>
            <w:r>
              <w:t>. (Vinculada a indicador N°53)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</w:t>
            </w:r>
            <w:r w:rsidR="008E61E1" w:rsidRPr="001D66D3">
              <w:rPr>
                <w:b/>
              </w:rPr>
              <w:t>:</w:t>
            </w:r>
            <w:r w:rsidR="008E61E1" w:rsidRPr="00934BF5">
              <w:t>Incorporar dos profesores visitantes por facultad anualmente</w:t>
            </w:r>
            <w:r w:rsidR="008E61E1">
              <w:t>. (Vinculada a indicador N°55)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723F47" w:rsidP="00736159">
            <w:pPr>
              <w:pStyle w:val="Prrafodelista"/>
              <w:spacing w:after="0" w:line="240" w:lineRule="auto"/>
              <w:ind w:left="34"/>
            </w:pPr>
            <w:r>
              <w:t>Fuente</w:t>
            </w:r>
            <w:r w:rsidR="008E61E1">
              <w:t xml:space="preserve">: </w:t>
            </w:r>
            <w:r w:rsidR="008E61E1" w:rsidRPr="00934BF5">
              <w:t>Implementar dos talleres anuales de intercambio de experiencias pedagógicas y metodologías innovadoras</w:t>
            </w:r>
            <w:r w:rsidR="008E61E1">
              <w:t>. (Vinculada a indicador N°56)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E2129D">
            <w:pPr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Disponer de a lo menos un tutor por curso a partir de marzo del 2013</w:t>
            </w:r>
            <w:r>
              <w:t>. (Vinculada a indicador N°58)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Disponer de orientación psicológica y pastoral permanente para todo </w:t>
            </w:r>
            <w:r w:rsidRPr="00934BF5">
              <w:lastRenderedPageBreak/>
              <w:t>el alumnado  a partir de marzo del 2013</w:t>
            </w:r>
            <w:r>
              <w:t>. (Vinculada a indicador N°59)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Crear un centro  de apoyo multidisciplinario al estudiante,  que haga análisis y sugiera medidas correctivas para mejorar la progresión académica  a partir de marzo del 2013</w:t>
            </w:r>
            <w:r>
              <w:t>. (Vinculada a indicador N°60)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Consolidar el programa propedéutico a partir de marzo del 2013</w:t>
            </w:r>
            <w:r>
              <w:t>. (Vinculada a indicador N°62)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Implementar un sistema de evaluación de conductas de entrada y salida a partir de marzo 2013 (estilos de aprendizaje, valores, actitudes, hábitos de estudio, creencias, evaluación del alumno de su plan de estudio, etc.)</w:t>
            </w:r>
            <w:r>
              <w:t>. (Vinculada a indicador N°63)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="00B55E38" w:rsidRPr="00B55E38">
              <w:t>Incorporar  criterios de flexibilización curricular acordes con el modelo educativo a partir de marzo del año 2013.</w:t>
            </w:r>
            <w:r>
              <w:t xml:space="preserve"> (Vinculada a indicador N°64)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Articular la formación  técnico profesional  con  programas de Pregrado a</w:t>
            </w:r>
            <w:r>
              <w:t xml:space="preserve"> partir de marzo del año 2013. (Vinculada a indicador N°65)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Tener admisión en el segundo semestre, para carreras de pregrado, a partir del 2014</w:t>
            </w:r>
            <w:r>
              <w:t>. (Vinculada a indicador N°66)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Preparar anualmente a un 80% de los egresados de las carreras de Pedagogía que deban rendir prueba INICIA</w:t>
            </w:r>
            <w:r>
              <w:t>. (Vinculada a indicador N°67)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Incrementar  anualmente el presupuesto en un 20%  en recursos didácticos.</w:t>
            </w:r>
            <w:r>
              <w:t xml:space="preserve"> (Vinculada a indicador N°73)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DD2878" w:rsidRPr="00934BF5" w:rsidTr="008E61E1">
        <w:tc>
          <w:tcPr>
            <w:tcW w:w="7338" w:type="dxa"/>
          </w:tcPr>
          <w:p w:rsidR="00DD2878" w:rsidRPr="00934BF5" w:rsidRDefault="00DD2878" w:rsidP="00D30B1C">
            <w:pPr>
              <w:spacing w:after="0" w:line="240" w:lineRule="auto"/>
            </w:pPr>
            <w:r w:rsidRPr="006376F4">
              <w:rPr>
                <w:b/>
              </w:rPr>
              <w:t xml:space="preserve">Fuente: </w:t>
            </w:r>
            <w:r w:rsidRPr="00DD2878">
              <w:t>Realizar estudios de apertura de las carreras de Odontología, Nutrición y Kinesiología, para ser abiertas en el período 2014-2016.</w:t>
            </w:r>
            <w:r>
              <w:t xml:space="preserve"> (Vinculada a indicador N°75</w:t>
            </w:r>
            <w:r w:rsidR="00DB53D6">
              <w:t>b</w:t>
            </w:r>
            <w:r>
              <w:t>)</w:t>
            </w:r>
          </w:p>
        </w:tc>
        <w:tc>
          <w:tcPr>
            <w:tcW w:w="6804" w:type="dxa"/>
          </w:tcPr>
          <w:p w:rsidR="00DD2878" w:rsidRPr="00934BF5" w:rsidRDefault="00DD287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Preparar un documento en que conste la bibliografía actualizada por área del conocimiento anualmente. A partir del 2013.</w:t>
            </w:r>
            <w:r>
              <w:t xml:space="preserve"> (Vinculada a indicador N°78)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>Fuente: I</w:t>
            </w:r>
            <w:r w:rsidRPr="00B55E38">
              <w:t>mplementar  una nueva sala  moderna de consulta bibliográfica digital en marzo 2013.</w:t>
            </w:r>
            <w:r>
              <w:t xml:space="preserve"> (Vinculada a indicador N°81)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FB4A70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1D66D3">
              <w:rPr>
                <w:rFonts w:eastAsia="Times New Roman"/>
                <w:b/>
              </w:rPr>
              <w:t>Responsable</w:t>
            </w:r>
            <w:r w:rsidR="008E61E1" w:rsidRPr="001D66D3">
              <w:rPr>
                <w:rFonts w:eastAsia="Times New Roman"/>
                <w:b/>
              </w:rPr>
              <w:t>:</w:t>
            </w:r>
            <w:r w:rsidR="008E61E1" w:rsidRPr="00934BF5">
              <w:rPr>
                <w:rFonts w:eastAsia="Times New Roman"/>
              </w:rPr>
              <w:t>Realizar a lo menos una actividad de extensión  interna y externa por carrera anualmente.</w:t>
            </w:r>
            <w:r w:rsidR="008E61E1">
              <w:t>(Vinculada a indicador N°89)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Implementar un sistema de voluntariado de estudiantes para prestar un servicio a la comunidad con proyectos sociales a partir de marzo de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N°92)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lastRenderedPageBreak/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 xml:space="preserve">Realizar reunión anual de egresados por carrera a partir del 2013. </w:t>
            </w:r>
            <w:r>
              <w:t>(Vinculada a indicador N°96)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14614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>Crear una red de ex alumnos.</w:t>
            </w:r>
            <w:r>
              <w:t>(Vinculada a indicad</w:t>
            </w:r>
            <w:r w:rsidR="00B55E38">
              <w:t>or N°97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1D66D3">
            <w:pPr>
              <w:spacing w:after="0" w:line="240" w:lineRule="auto"/>
              <w:rPr>
                <w:rFonts w:cs="Tahoma"/>
              </w:rPr>
            </w:pPr>
            <w:r w:rsidRPr="00723F47">
              <w:rPr>
                <w:rFonts w:cs="Tahoma"/>
                <w:b/>
              </w:rPr>
              <w:t>R</w:t>
            </w:r>
            <w:r w:rsidR="00723F47" w:rsidRPr="00723F47">
              <w:rPr>
                <w:rFonts w:cs="Tahoma"/>
                <w:b/>
              </w:rPr>
              <w:t>esponsable</w:t>
            </w:r>
            <w:r w:rsidRPr="00723F47">
              <w:rPr>
                <w:rFonts w:cs="Tahoma"/>
                <w:b/>
              </w:rPr>
              <w:t>:</w:t>
            </w:r>
            <w:r w:rsidRPr="00714614">
              <w:rPr>
                <w:rFonts w:cs="Tahoma"/>
              </w:rPr>
              <w:t>Desarrollar un programa semanal por facultad</w:t>
            </w:r>
            <w:r>
              <w:rPr>
                <w:rFonts w:cs="Tahoma"/>
              </w:rPr>
              <w:t xml:space="preserve">. </w:t>
            </w:r>
            <w:r>
              <w:t>(Vinculada a indicador N°107)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3A4137">
            <w:pPr>
              <w:spacing w:after="0" w:line="240" w:lineRule="auto"/>
              <w:rPr>
                <w:rFonts w:eastAsia="Times New Roman"/>
              </w:rPr>
            </w:pPr>
            <w:r w:rsidRPr="00714614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714614">
              <w:rPr>
                <w:rFonts w:eastAsia="Times New Roman"/>
              </w:rPr>
              <w:t>Actualizar el formato de presentación de trabajos académicos, a junio de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N°127)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Formar a lo menos un equipo de investig</w:t>
            </w:r>
            <w:r>
              <w:t>adores con carga horaria ad hoc</w:t>
            </w:r>
            <w:r w:rsidRPr="00934BF5">
              <w:t>, por facultad a partir de marzo del 2013</w:t>
            </w:r>
            <w:r>
              <w:t>. (Vinculada a indicador N°131)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una revista digital de investigación por facultad, a partir del año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en la revista digital de cada facultad de los artículos derivados de las tesis y  TFI seleccionados por la comisión editorial de la revista</w:t>
            </w:r>
            <w:r>
              <w:rPr>
                <w:rFonts w:eastAsia="Times New Roman"/>
              </w:rPr>
              <w:t xml:space="preserve">. </w:t>
            </w:r>
            <w:r>
              <w:t>(Vinculada a indicador N°139)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15 proyectos en concursos internos a contar del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2  proyectos en concursos externos  a contar del 2014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Lograr que el 50% de proyectos  se involucren estudiantes de pregrado a partir del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723F47">
              <w:rPr>
                <w:b/>
              </w:rPr>
              <w:t>Responsable:</w:t>
            </w:r>
            <w:r w:rsidR="00723F47" w:rsidRPr="00723F47">
              <w:t>Realizar anualmente análisis e informe financiero de las carreras. (Incluido análisis de mercado) hasta abril de cada año (abril 2012).</w:t>
            </w:r>
            <w:r>
              <w:t xml:space="preserve"> (Vinculada a indicador N°157</w:t>
            </w:r>
            <w:r w:rsidR="00723F47">
              <w:t>a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Anualmente hacer una toma de decisiones oportuna en base al Manual de Apertura, Mantención y  Cierre de Carreras, los resultados del estudio  financiero e informe de facultades, a junio de 2012</w:t>
            </w:r>
            <w:r>
              <w:t>. (Vinculada a indicador N°158)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Fundamentar la mantención de carreras deficitarias a partir de diciembre de 2012</w:t>
            </w:r>
            <w:r>
              <w:t>. (Vinculada a indicador N°159)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Realizar un plan de sustentabilidad para las carreras deficitarias a partir del 2012</w:t>
            </w:r>
            <w:r>
              <w:t>. (Vinculada a indicador N°160)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7798E">
            <w:pPr>
              <w:pStyle w:val="Prrafodelista"/>
              <w:spacing w:after="0" w:line="240" w:lineRule="auto"/>
              <w:ind w:left="47"/>
              <w:rPr>
                <w:highlight w:val="yellow"/>
              </w:rPr>
            </w:pPr>
            <w:r w:rsidRPr="00723F47">
              <w:rPr>
                <w:b/>
              </w:rPr>
              <w:t>Responsable:</w:t>
            </w:r>
            <w:r w:rsidRPr="00934BF5">
              <w:t>Establecer necesidades anuales de recursos de apoyo a la docencia por facultad a partir de marzo de 2012</w:t>
            </w:r>
            <w:r>
              <w:t>. (Vinculada a indicador N°197)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Pr="00934BF5" w:rsidRDefault="00AE0305" w:rsidP="00AE030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N°4</w:t>
      </w:r>
      <w:r w:rsidRPr="00934BF5">
        <w:rPr>
          <w:rFonts w:asciiTheme="minorHAnsi" w:hAnsiTheme="minorHAnsi"/>
          <w:b/>
        </w:rPr>
        <w:t>: DESAFIOS TRANSVERSALES DE LAS CARRERAS DE LA FACULTAD Y ASPECTOS PARTICULARES RELEVANTES DE LAS CARRERAS</w:t>
      </w:r>
    </w:p>
    <w:p w:rsidR="00AE0305" w:rsidRDefault="00AE0305" w:rsidP="00AE030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566A99">
        <w:rPr>
          <w:rFonts w:asciiTheme="minorHAnsi" w:hAnsiTheme="minorHAnsi"/>
        </w:rPr>
        <w:t xml:space="preserve">Estos deben ser aspectos transversales que las unidades no pueden resolver por sí solas y corresponde a la </w:t>
      </w:r>
      <w:r>
        <w:rPr>
          <w:rFonts w:asciiTheme="minorHAnsi" w:hAnsiTheme="minorHAnsi"/>
        </w:rPr>
        <w:t xml:space="preserve">facultad </w:t>
      </w:r>
      <w:r w:rsidRPr="00566A99">
        <w:rPr>
          <w:rFonts w:asciiTheme="minorHAnsi" w:hAnsiTheme="minorHAnsi"/>
        </w:rPr>
        <w:t xml:space="preserve">su ejecución.  </w:t>
      </w:r>
    </w:p>
    <w:p w:rsidR="00AE0305" w:rsidRPr="00934BF5" w:rsidRDefault="00AE0305" w:rsidP="00AE0305">
      <w:pPr>
        <w:spacing w:after="0"/>
        <w:rPr>
          <w:rFonts w:asciiTheme="minorHAnsi" w:hAnsiTheme="minorHAnsi"/>
          <w:b/>
        </w:rPr>
      </w:pPr>
      <w:r w:rsidRPr="00566A99">
        <w:rPr>
          <w:rFonts w:asciiTheme="minorHAnsi" w:hAnsiTheme="minorHAnsi"/>
          <w:color w:val="000000" w:themeColor="text1"/>
          <w:lang w:val="es-CL"/>
        </w:rPr>
        <w:t xml:space="preserve">*Estos </w:t>
      </w:r>
      <w:r>
        <w:rPr>
          <w:rFonts w:asciiTheme="minorHAnsi" w:hAnsiTheme="minorHAnsi"/>
          <w:color w:val="000000" w:themeColor="text1"/>
          <w:lang w:val="es-CL"/>
        </w:rPr>
        <w:t>aspectos a mejorar de</w:t>
      </w:r>
      <w:r w:rsidRPr="00566A99">
        <w:rPr>
          <w:rFonts w:asciiTheme="minorHAnsi" w:hAnsiTheme="minorHAnsi"/>
          <w:color w:val="000000" w:themeColor="text1"/>
          <w:lang w:val="es-CL"/>
        </w:rPr>
        <w:t>ben estar enumerados en las debilidades del FODA para que pasen a ser parte de su plan de trabajo 2013.</w:t>
      </w:r>
    </w:p>
    <w:tbl>
      <w:tblPr>
        <w:tblStyle w:val="Tablaconcuadrcula"/>
        <w:tblW w:w="0" w:type="auto"/>
        <w:tblLook w:val="04A0"/>
      </w:tblPr>
      <w:tblGrid>
        <w:gridCol w:w="6345"/>
        <w:gridCol w:w="6379"/>
      </w:tblGrid>
      <w:tr w:rsidR="00AE0305" w:rsidRPr="00934BF5" w:rsidTr="00302867">
        <w:tc>
          <w:tcPr>
            <w:tcW w:w="6345" w:type="dxa"/>
            <w:shd w:val="clear" w:color="auto" w:fill="8DB3E2" w:themeFill="text2" w:themeFillTint="66"/>
          </w:tcPr>
          <w:p w:rsidR="00AE0305" w:rsidRPr="004515D8" w:rsidRDefault="00AE0305" w:rsidP="0030286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Aspectos  </w:t>
            </w:r>
            <w:r w:rsidRPr="004515D8">
              <w:rPr>
                <w:rFonts w:asciiTheme="minorHAnsi" w:hAnsiTheme="minorHAnsi"/>
                <w:b/>
              </w:rPr>
              <w:t xml:space="preserve">a mejorar </w:t>
            </w:r>
          </w:p>
        </w:tc>
        <w:tc>
          <w:tcPr>
            <w:tcW w:w="6379" w:type="dxa"/>
            <w:shd w:val="clear" w:color="auto" w:fill="8DB3E2" w:themeFill="text2" w:themeFillTint="66"/>
          </w:tcPr>
          <w:p w:rsidR="00AE0305" w:rsidRPr="004515D8" w:rsidRDefault="00AE0305" w:rsidP="00302867">
            <w:pPr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Unidades   involucradas  </w:t>
            </w: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</w:tbl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  <w:r w:rsidRPr="00934BF5">
        <w:rPr>
          <w:rFonts w:asciiTheme="minorHAnsi" w:hAnsiTheme="minorHAnsi"/>
          <w:b/>
        </w:rPr>
        <w:t>*Agregue las filas que le sean necesarias</w:t>
      </w: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5E7198" w:rsidRDefault="002654AA" w:rsidP="006376F4">
      <w:pPr>
        <w:spacing w:after="0"/>
        <w:rPr>
          <w:rFonts w:asciiTheme="minorHAnsi" w:hAnsiTheme="minorHAnsi"/>
          <w:b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 w:rsidR="008F71DA">
        <w:rPr>
          <w:rFonts w:asciiTheme="minorHAnsi" w:hAnsiTheme="minorHAnsi"/>
          <w:b/>
        </w:rPr>
        <w:t>TABLA N°5</w:t>
      </w:r>
      <w:r w:rsidR="005E7198"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5E7198" w:rsidRDefault="005E7198" w:rsidP="006376F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130EA9" w:rsidRDefault="005E7198" w:rsidP="006376F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5"/>
        <w:gridCol w:w="3246"/>
        <w:gridCol w:w="2006"/>
        <w:gridCol w:w="1562"/>
        <w:gridCol w:w="2280"/>
        <w:gridCol w:w="1909"/>
      </w:tblGrid>
      <w:tr w:rsidR="005E7198" w:rsidRPr="000365E4" w:rsidTr="000365E4"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4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8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7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5320AE" w:rsidRPr="000365E4" w:rsidTr="000365E4">
        <w:tc>
          <w:tcPr>
            <w:tcW w:w="1139" w:type="pct"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  <w:b/>
              </w:rPr>
              <w:t>Criterio 6: Docentes y Personal</w:t>
            </w:r>
          </w:p>
        </w:tc>
        <w:tc>
          <w:tcPr>
            <w:tcW w:w="1139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</w:rPr>
              <w:t>1-La administración, la vicerrectoría académica, decanos y directores de carrera incrementen el programa de intercambio con otras universidades, especialmente con las pertenecientes al sistema educativo adventista.</w:t>
            </w:r>
          </w:p>
        </w:tc>
        <w:tc>
          <w:tcPr>
            <w:tcW w:w="704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  <w:r w:rsidRPr="000365E4">
              <w:t>N° de  programas de intercambio</w:t>
            </w:r>
          </w:p>
        </w:tc>
        <w:tc>
          <w:tcPr>
            <w:tcW w:w="548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  <w:r w:rsidRPr="000365E4">
              <w:t>Diciembre de cada año</w:t>
            </w:r>
          </w:p>
        </w:tc>
        <w:tc>
          <w:tcPr>
            <w:tcW w:w="800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  <w:r w:rsidRPr="000365E4">
              <w:t>-Decanos</w:t>
            </w:r>
          </w:p>
          <w:p w:rsidR="005320AE" w:rsidRPr="000365E4" w:rsidRDefault="005320AE" w:rsidP="000365E4">
            <w:pPr>
              <w:spacing w:after="0" w:line="240" w:lineRule="auto"/>
            </w:pPr>
            <w:r w:rsidRPr="000365E4">
              <w:t>-Directores de carrera</w:t>
            </w:r>
          </w:p>
        </w:tc>
        <w:tc>
          <w:tcPr>
            <w:tcW w:w="670" w:type="pct"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5E7198" w:rsidRDefault="005E7198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0519E" w:rsidRDefault="0060519E" w:rsidP="005E7198">
      <w:pPr>
        <w:rPr>
          <w:rFonts w:asciiTheme="minorHAnsi" w:hAnsiTheme="minorHAnsi"/>
          <w:b/>
        </w:rPr>
      </w:pPr>
    </w:p>
    <w:p w:rsidR="0060519E" w:rsidRDefault="0060519E" w:rsidP="005E7198">
      <w:pPr>
        <w:rPr>
          <w:rFonts w:asciiTheme="minorHAnsi" w:hAnsiTheme="minorHAnsi"/>
          <w:b/>
        </w:rPr>
      </w:pPr>
    </w:p>
    <w:p w:rsidR="0060519E" w:rsidRDefault="0060519E" w:rsidP="005E7198">
      <w:pPr>
        <w:rPr>
          <w:rFonts w:asciiTheme="minorHAnsi" w:hAnsiTheme="minorHAnsi"/>
          <w:b/>
        </w:rPr>
      </w:pPr>
    </w:p>
    <w:p w:rsidR="0060519E" w:rsidRDefault="0060519E" w:rsidP="005E7198">
      <w:pPr>
        <w:rPr>
          <w:rFonts w:asciiTheme="minorHAnsi" w:hAnsiTheme="minorHAnsi"/>
          <w:b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BB06A1" w:rsidRDefault="00BB06A1" w:rsidP="00BB06A1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BB06A1" w:rsidRDefault="00BB06A1" w:rsidP="00BB06A1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BB06A1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B80212" w:rsidP="005E7198">
      <w:pPr>
        <w:rPr>
          <w:rFonts w:asciiTheme="minorHAnsi" w:hAnsiTheme="minorHAnsi"/>
          <w:b/>
          <w:lang w:val="es-CL"/>
        </w:rPr>
      </w:pPr>
      <w:r w:rsidRPr="00B80212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2E074C" w:rsidRDefault="002E074C" w:rsidP="005E7198">
      <w:pPr>
        <w:spacing w:after="0"/>
        <w:rPr>
          <w:rFonts w:asciiTheme="minorHAnsi" w:hAnsiTheme="minorHAnsi"/>
          <w:b/>
        </w:rPr>
      </w:pPr>
    </w:p>
    <w:p w:rsidR="002E074C" w:rsidRDefault="002E074C" w:rsidP="005E7198">
      <w:pPr>
        <w:spacing w:after="0"/>
        <w:rPr>
          <w:rFonts w:asciiTheme="minorHAnsi" w:hAnsiTheme="minorHAnsi"/>
          <w:b/>
        </w:rPr>
      </w:pPr>
    </w:p>
    <w:p w:rsidR="002E074C" w:rsidRDefault="002E074C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</w:rPr>
        <w:t>TABLA N°6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937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N°4</w:t>
            </w:r>
            <w:r>
              <w:rPr>
                <w:rFonts w:asciiTheme="minorHAnsi" w:hAnsiTheme="minorHAnsi"/>
                <w:b/>
              </w:rPr>
              <w:t>: RECOMENDACIONES AGENCIA ADVENTISTA DE ACREDITACIÓN (AAA).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  <w:p w:rsidR="006376F4" w:rsidRPr="00E16C3E" w:rsidRDefault="006376F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:rsidR="00BB06A1" w:rsidRDefault="00BB06A1"/>
    <w:p w:rsidR="00BB06A1" w:rsidRDefault="00BB06A1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B80212" w:rsidP="005E7198">
      <w:pPr>
        <w:rPr>
          <w:rFonts w:asciiTheme="minorHAnsi" w:hAnsiTheme="minorHAnsi"/>
          <w:b/>
        </w:rPr>
      </w:pPr>
      <w:r w:rsidRPr="00B80212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2E074C" w:rsidRDefault="002E074C" w:rsidP="00110A88">
      <w:pPr>
        <w:spacing w:after="0"/>
        <w:rPr>
          <w:rFonts w:asciiTheme="minorHAnsi" w:hAnsiTheme="minorHAnsi"/>
          <w:b/>
        </w:rPr>
      </w:pPr>
    </w:p>
    <w:p w:rsidR="002E074C" w:rsidRDefault="002E074C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8F71DA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N°7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110A88">
        <w:rPr>
          <w:rFonts w:asciiTheme="minorHAnsi" w:hAnsiTheme="minorHAnsi"/>
          <w:b/>
        </w:rPr>
        <w:t>,</w:t>
      </w:r>
      <w:r w:rsidR="00192854">
        <w:rPr>
          <w:rFonts w:asciiTheme="minorHAnsi" w:hAnsiTheme="minorHAnsi"/>
          <w:b/>
        </w:rPr>
        <w:t xml:space="preserve"> DE FACULTADES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192854">
        <w:rPr>
          <w:rFonts w:asciiTheme="minorHAnsi" w:hAnsiTheme="minorHAnsi"/>
        </w:rPr>
        <w:t>Facultad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9A37CA" w:rsidRDefault="00944D7B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8F71DA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N°8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BB06A1" w:rsidRDefault="00BB06A1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6376F4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BB06A1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BB06A1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BB06A1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BB06A1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BB06A1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D0A" w:rsidRDefault="008C2D0A" w:rsidP="00F321DC">
      <w:pPr>
        <w:spacing w:after="0" w:line="240" w:lineRule="auto"/>
      </w:pPr>
      <w:r>
        <w:separator/>
      </w:r>
    </w:p>
  </w:endnote>
  <w:endnote w:type="continuationSeparator" w:id="1">
    <w:p w:rsidR="008C2D0A" w:rsidRDefault="008C2D0A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6376F4" w:rsidRDefault="00B80212">
        <w:pPr>
          <w:pStyle w:val="Piedepgina"/>
          <w:jc w:val="right"/>
        </w:pPr>
        <w:r>
          <w:fldChar w:fldCharType="begin"/>
        </w:r>
        <w:r w:rsidR="006376F4">
          <w:instrText xml:space="preserve"> PAGE   \* MERGEFORMAT </w:instrText>
        </w:r>
        <w:r>
          <w:fldChar w:fldCharType="separate"/>
        </w:r>
        <w:r w:rsidR="00BB06A1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6376F4" w:rsidRDefault="006376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D0A" w:rsidRDefault="008C2D0A" w:rsidP="00F321DC">
      <w:pPr>
        <w:spacing w:after="0" w:line="240" w:lineRule="auto"/>
      </w:pPr>
      <w:r>
        <w:separator/>
      </w:r>
    </w:p>
  </w:footnote>
  <w:footnote w:type="continuationSeparator" w:id="1">
    <w:p w:rsidR="008C2D0A" w:rsidRDefault="008C2D0A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F4" w:rsidRDefault="006376F4">
    <w:pPr>
      <w:pStyle w:val="Encabezado"/>
    </w:pPr>
  </w:p>
  <w:p w:rsidR="006376F4" w:rsidRDefault="006376F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F4" w:rsidRDefault="006376F4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71DA" w:rsidRDefault="006376F4" w:rsidP="00BB06A1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6376F4" w:rsidRPr="00AC3CE7" w:rsidRDefault="006376F4" w:rsidP="00BB06A1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47697"/>
    <w:rsid w:val="0025095D"/>
    <w:rsid w:val="00256F01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074C"/>
    <w:rsid w:val="002E68FF"/>
    <w:rsid w:val="00312682"/>
    <w:rsid w:val="003170E1"/>
    <w:rsid w:val="00317D8B"/>
    <w:rsid w:val="003201A4"/>
    <w:rsid w:val="00365784"/>
    <w:rsid w:val="003A4137"/>
    <w:rsid w:val="003B18F2"/>
    <w:rsid w:val="003D1AC6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E269B"/>
    <w:rsid w:val="004E62A1"/>
    <w:rsid w:val="004E6A1D"/>
    <w:rsid w:val="00506AB0"/>
    <w:rsid w:val="005137A8"/>
    <w:rsid w:val="00517F5D"/>
    <w:rsid w:val="00531163"/>
    <w:rsid w:val="005320AE"/>
    <w:rsid w:val="005434BA"/>
    <w:rsid w:val="005662C2"/>
    <w:rsid w:val="00570AD1"/>
    <w:rsid w:val="005726EB"/>
    <w:rsid w:val="005868AA"/>
    <w:rsid w:val="00596446"/>
    <w:rsid w:val="005A22CD"/>
    <w:rsid w:val="005B6AA7"/>
    <w:rsid w:val="005D7E86"/>
    <w:rsid w:val="005E7198"/>
    <w:rsid w:val="0060519E"/>
    <w:rsid w:val="00630A68"/>
    <w:rsid w:val="006376F4"/>
    <w:rsid w:val="0064558F"/>
    <w:rsid w:val="00655918"/>
    <w:rsid w:val="00665501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2D0A"/>
    <w:rsid w:val="008C3F6C"/>
    <w:rsid w:val="008E5CF4"/>
    <w:rsid w:val="008E61E1"/>
    <w:rsid w:val="008F71DA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1728B"/>
    <w:rsid w:val="00A24B24"/>
    <w:rsid w:val="00A35651"/>
    <w:rsid w:val="00A56AFB"/>
    <w:rsid w:val="00A56C4C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40EA"/>
    <w:rsid w:val="00B134E7"/>
    <w:rsid w:val="00B17AFD"/>
    <w:rsid w:val="00B245D5"/>
    <w:rsid w:val="00B279F7"/>
    <w:rsid w:val="00B478CD"/>
    <w:rsid w:val="00B55E38"/>
    <w:rsid w:val="00B614FC"/>
    <w:rsid w:val="00B664C3"/>
    <w:rsid w:val="00B71912"/>
    <w:rsid w:val="00B77377"/>
    <w:rsid w:val="00B80212"/>
    <w:rsid w:val="00B80635"/>
    <w:rsid w:val="00B92383"/>
    <w:rsid w:val="00BB06A1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A0C"/>
    <w:rsid w:val="00CB4731"/>
    <w:rsid w:val="00CB5CED"/>
    <w:rsid w:val="00CC2091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Desafios transversales de las carreras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Recomendaciones Agencia Adventista de Acreditación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VII. Plan de trabajo 2013 de la facultad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75457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9957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75765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A78BB6DE-E88F-477E-AD4B-29E88D2FA3EC}" type="presOf" srcId="{C1EAD699-C332-4768-9340-40BA75436597}" destId="{91D06AA7-979D-43BF-B212-107FACA35ABA}" srcOrd="0" destOrd="0" presId="urn:microsoft.com/office/officeart/2005/8/layout/vList4#17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1815DBAD-D56B-4ADD-8D06-BDBF4EBEC8C9}" type="presOf" srcId="{7D736F56-5E7C-4165-A439-DB85FF57B667}" destId="{881537AB-96C8-465C-B9F2-F14F4D5B2C60}" srcOrd="0" destOrd="0" presId="urn:microsoft.com/office/officeart/2005/8/layout/vList4#17"/>
    <dgm:cxn modelId="{B77BB23C-BFD2-4730-8782-A2DD8F2E4BDF}" type="presOf" srcId="{7D736F56-5E7C-4165-A439-DB85FF57B667}" destId="{0F1D83A8-E96B-4ED1-86DB-8974815ECD30}" srcOrd="1" destOrd="0" presId="urn:microsoft.com/office/officeart/2005/8/layout/vList4#17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9BFE6E6D-7564-4EEB-80AC-CF54B5EDDC6F}" type="presOf" srcId="{6AA3FB31-4991-444D-A81C-0248C1DD88DC}" destId="{99B4252B-8A91-4748-9825-EE88056880A2}" srcOrd="0" destOrd="0" presId="urn:microsoft.com/office/officeart/2005/8/layout/vList4#17"/>
    <dgm:cxn modelId="{08EF5428-AA43-4B4F-8689-F85BEE4F2E9A}" type="presOf" srcId="{9AB012B8-2013-450E-9838-0C28222136BD}" destId="{E6F352DB-CD87-4918-9AD7-E42C47D5DCDD}" srcOrd="1" destOrd="1" presId="urn:microsoft.com/office/officeart/2005/8/layout/vList4#17"/>
    <dgm:cxn modelId="{D5CC76A8-58E9-4778-ACBE-1A33D844A3FE}" type="presOf" srcId="{9AB012B8-2013-450E-9838-0C28222136BD}" destId="{91D06AA7-979D-43BF-B212-107FACA35ABA}" srcOrd="0" destOrd="1" presId="urn:microsoft.com/office/officeart/2005/8/layout/vList4#17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43A18C22-9D38-44DF-87E6-6365BB9AE28D}" type="presOf" srcId="{C1EAD699-C332-4768-9340-40BA75436597}" destId="{E6F352DB-CD87-4918-9AD7-E42C47D5DCDD}" srcOrd="1" destOrd="0" presId="urn:microsoft.com/office/officeart/2005/8/layout/vList4#17"/>
    <dgm:cxn modelId="{6F7B6031-28AF-456D-85E5-968B653BED9D}" type="presOf" srcId="{F9C1ABE1-9CC1-4B98-9F18-448C386F07BB}" destId="{D7C1CED6-C28A-44AA-A56E-8BF9F93A5C63}" srcOrd="0" destOrd="0" presId="urn:microsoft.com/office/officeart/2005/8/layout/vList4#17"/>
    <dgm:cxn modelId="{A76DC38B-5EE9-47C1-A5D6-7D3ED38F1388}" type="presOf" srcId="{F9C1ABE1-9CC1-4B98-9F18-448C386F07BB}" destId="{9AEAC8AE-0E2F-4013-B60E-3514410A1D49}" srcOrd="1" destOrd="0" presId="urn:microsoft.com/office/officeart/2005/8/layout/vList4#17"/>
    <dgm:cxn modelId="{FE26B00D-13B8-40D2-B60B-8E7A0134668B}" type="presParOf" srcId="{99B4252B-8A91-4748-9825-EE88056880A2}" destId="{18D71F07-69E2-4CBD-9C2B-B76CB06075E4}" srcOrd="0" destOrd="0" presId="urn:microsoft.com/office/officeart/2005/8/layout/vList4#17"/>
    <dgm:cxn modelId="{B8D25EEC-761E-48A5-A248-7FD4D6C792A9}" type="presParOf" srcId="{18D71F07-69E2-4CBD-9C2B-B76CB06075E4}" destId="{91D06AA7-979D-43BF-B212-107FACA35ABA}" srcOrd="0" destOrd="0" presId="urn:microsoft.com/office/officeart/2005/8/layout/vList4#17"/>
    <dgm:cxn modelId="{73EF89F6-63CB-49CB-923C-60FAEE7FDD06}" type="presParOf" srcId="{18D71F07-69E2-4CBD-9C2B-B76CB06075E4}" destId="{35BD51C7-13ED-46EC-99EB-69C6A5C7F517}" srcOrd="1" destOrd="0" presId="urn:microsoft.com/office/officeart/2005/8/layout/vList4#17"/>
    <dgm:cxn modelId="{5CBF52AD-6517-40EB-B11D-EF33D9A26D61}" type="presParOf" srcId="{18D71F07-69E2-4CBD-9C2B-B76CB06075E4}" destId="{E6F352DB-CD87-4918-9AD7-E42C47D5DCDD}" srcOrd="2" destOrd="0" presId="urn:microsoft.com/office/officeart/2005/8/layout/vList4#17"/>
    <dgm:cxn modelId="{FB5F2E34-2D21-4962-8116-F7394F9E5160}" type="presParOf" srcId="{99B4252B-8A91-4748-9825-EE88056880A2}" destId="{25D340C1-1622-45D0-80D0-BE9A0913DD9F}" srcOrd="1" destOrd="0" presId="urn:microsoft.com/office/officeart/2005/8/layout/vList4#17"/>
    <dgm:cxn modelId="{7B0D3F5B-DF9F-4A20-B4B0-301C6A19AEAF}" type="presParOf" srcId="{99B4252B-8A91-4748-9825-EE88056880A2}" destId="{BA1BFBF2-4F25-435A-8168-D27DD89DBDA9}" srcOrd="2" destOrd="0" presId="urn:microsoft.com/office/officeart/2005/8/layout/vList4#17"/>
    <dgm:cxn modelId="{933DBC3C-C4D2-447A-A7F1-2A0E0745B745}" type="presParOf" srcId="{BA1BFBF2-4F25-435A-8168-D27DD89DBDA9}" destId="{881537AB-96C8-465C-B9F2-F14F4D5B2C60}" srcOrd="0" destOrd="0" presId="urn:microsoft.com/office/officeart/2005/8/layout/vList4#17"/>
    <dgm:cxn modelId="{E9AE5843-0B25-4016-8FCF-34DF0635736B}" type="presParOf" srcId="{BA1BFBF2-4F25-435A-8168-D27DD89DBDA9}" destId="{4FA255E2-8701-4F4E-995A-B6AF0629C9A7}" srcOrd="1" destOrd="0" presId="urn:microsoft.com/office/officeart/2005/8/layout/vList4#17"/>
    <dgm:cxn modelId="{1DEC9582-A320-4A51-810D-61836ED2D281}" type="presParOf" srcId="{BA1BFBF2-4F25-435A-8168-D27DD89DBDA9}" destId="{0F1D83A8-E96B-4ED1-86DB-8974815ECD30}" srcOrd="2" destOrd="0" presId="urn:microsoft.com/office/officeart/2005/8/layout/vList4#17"/>
    <dgm:cxn modelId="{FFD291FC-9DB6-4027-9800-264C3E06F679}" type="presParOf" srcId="{99B4252B-8A91-4748-9825-EE88056880A2}" destId="{D747FC36-A6F5-4493-8FCA-3E90F496E8C8}" srcOrd="3" destOrd="0" presId="urn:microsoft.com/office/officeart/2005/8/layout/vList4#17"/>
    <dgm:cxn modelId="{318EFFD9-4211-4537-91B9-76B27A82A155}" type="presParOf" srcId="{99B4252B-8A91-4748-9825-EE88056880A2}" destId="{93142622-88A7-4214-9224-299B0A579FEF}" srcOrd="4" destOrd="0" presId="urn:microsoft.com/office/officeart/2005/8/layout/vList4#17"/>
    <dgm:cxn modelId="{F5691C5B-FD1B-4DDC-B5B6-3CACFBE031BE}" type="presParOf" srcId="{93142622-88A7-4214-9224-299B0A579FEF}" destId="{D7C1CED6-C28A-44AA-A56E-8BF9F93A5C63}" srcOrd="0" destOrd="0" presId="urn:microsoft.com/office/officeart/2005/8/layout/vList4#17"/>
    <dgm:cxn modelId="{7C96A151-7E5F-4AEA-AED6-F41FA37703FB}" type="presParOf" srcId="{93142622-88A7-4214-9224-299B0A579FEF}" destId="{2696C48F-B82C-47DA-BF9F-BEF13567D525}" srcOrd="1" destOrd="0" presId="urn:microsoft.com/office/officeart/2005/8/layout/vList4#17"/>
    <dgm:cxn modelId="{013E38C2-1C33-4C36-A8CC-B3DF5469D453}" type="presParOf" srcId="{93142622-88A7-4214-9224-299B0A579FEF}" destId="{9AEAC8AE-0E2F-4013-B60E-3514410A1D49}" srcOrd="2" destOrd="0" presId="urn:microsoft.com/office/officeart/2005/8/layout/vList4#17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5647"/>
          <a:ext cx="8258175" cy="163840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Desafios transversales de las carreras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Recomendaciones Agencia Adventista de Acreditación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68765" y="45647"/>
        <a:ext cx="6389409" cy="1638404"/>
      </dsp:txXfrm>
    </dsp:sp>
    <dsp:sp modelId="{35BD51C7-13ED-46EC-99EB-69C6A5C7F517}">
      <dsp:nvSpPr>
        <dsp:cNvPr id="0" name=""/>
        <dsp:cNvSpPr/>
      </dsp:nvSpPr>
      <dsp:spPr>
        <a:xfrm>
          <a:off x="217130" y="0"/>
          <a:ext cx="1651635" cy="172969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983929"/>
          <a:ext cx="8258175" cy="1178369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68765" y="1983929"/>
        <a:ext cx="6389409" cy="1178369"/>
      </dsp:txXfrm>
    </dsp:sp>
    <dsp:sp modelId="{4FA255E2-8701-4F4E-995A-B6AF0629C9A7}">
      <dsp:nvSpPr>
        <dsp:cNvPr id="0" name=""/>
        <dsp:cNvSpPr/>
      </dsp:nvSpPr>
      <dsp:spPr>
        <a:xfrm>
          <a:off x="217130" y="1946830"/>
          <a:ext cx="1651635" cy="125256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82990"/>
          <a:ext cx="8258175" cy="122954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Plan de trabajo 2013 de la facultad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68765" y="3482990"/>
        <a:ext cx="6389409" cy="1229547"/>
      </dsp:txXfrm>
    </dsp:sp>
    <dsp:sp modelId="{2696C48F-B82C-47DA-BF9F-BEF13567D525}">
      <dsp:nvSpPr>
        <dsp:cNvPr id="0" name=""/>
        <dsp:cNvSpPr/>
      </dsp:nvSpPr>
      <dsp:spPr>
        <a:xfrm>
          <a:off x="417267" y="3416529"/>
          <a:ext cx="1251361" cy="136247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7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26</Pages>
  <Words>3963</Words>
  <Characters>21799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77</cp:revision>
  <cp:lastPrinted>2012-03-06T18:10:00Z</cp:lastPrinted>
  <dcterms:created xsi:type="dcterms:W3CDTF">2012-01-25T14:17:00Z</dcterms:created>
  <dcterms:modified xsi:type="dcterms:W3CDTF">2012-12-17T13:35:00Z</dcterms:modified>
</cp:coreProperties>
</file>