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80" w:rsidRDefault="00452C80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260350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452C80" w:rsidRDefault="00452C80" w:rsidP="006E5D80">
      <w:pPr>
        <w:jc w:val="center"/>
        <w:rPr>
          <w:b/>
          <w:sz w:val="44"/>
          <w:szCs w:val="44"/>
        </w:rPr>
      </w:pPr>
    </w:p>
    <w:p w:rsidR="00452C80" w:rsidRPr="005F7F41" w:rsidRDefault="00452C80" w:rsidP="00452C80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452C80" w:rsidRPr="005F7F41" w:rsidRDefault="00452C80" w:rsidP="00452C80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452C80" w:rsidRDefault="00452C80" w:rsidP="00452C80">
      <w:pPr>
        <w:jc w:val="center"/>
        <w:rPr>
          <w:color w:val="000000" w:themeColor="text1"/>
          <w:sz w:val="28"/>
          <w:szCs w:val="28"/>
          <w:lang w:val="es-CL"/>
        </w:rPr>
      </w:pPr>
      <w:r w:rsidRPr="005F7F41">
        <w:rPr>
          <w:color w:val="000000" w:themeColor="text1"/>
          <w:sz w:val="28"/>
          <w:szCs w:val="28"/>
          <w:lang w:val="es-CL"/>
        </w:rPr>
        <w:t xml:space="preserve">DIRECTIVOS SUPERIORES </w:t>
      </w:r>
    </w:p>
    <w:p w:rsidR="00452C80" w:rsidRPr="005F7F41" w:rsidRDefault="00452C80" w:rsidP="00452C80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Vicerrectoría Administrativa</w:t>
      </w:r>
    </w:p>
    <w:p w:rsidR="00452C80" w:rsidRPr="005F7F41" w:rsidRDefault="00452C80" w:rsidP="00452C80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 w:rsidRPr="005F7F41"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Vicerrector</w:t>
      </w: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: Adrián Segui</w:t>
      </w:r>
    </w:p>
    <w:p w:rsidR="00452C80" w:rsidRPr="00571BD6" w:rsidRDefault="00452C80" w:rsidP="00452C80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6E5D80" w:rsidRPr="003732DE" w:rsidRDefault="00452C80" w:rsidP="00452C80">
      <w:pPr>
        <w:jc w:val="center"/>
        <w:rPr>
          <w:rFonts w:asciiTheme="minorHAnsi" w:hAnsiTheme="minorHAnsi"/>
          <w:b/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4E36E7" w:rsidRPr="003732DE" w:rsidRDefault="004E36E7" w:rsidP="00A446A8">
      <w:pPr>
        <w:rPr>
          <w:rFonts w:asciiTheme="minorHAnsi" w:hAnsiTheme="minorHAnsi"/>
          <w:lang w:val="es-CL"/>
        </w:rPr>
      </w:pPr>
    </w:p>
    <w:p w:rsidR="00452C80" w:rsidRPr="00470B4E" w:rsidRDefault="00452C80" w:rsidP="00452C80">
      <w:pPr>
        <w:spacing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INTROCUCCIÓN</w:t>
      </w:r>
    </w:p>
    <w:p w:rsidR="00452C80" w:rsidRPr="00784EC5" w:rsidRDefault="00452C80" w:rsidP="00452C80">
      <w:pPr>
        <w:spacing w:line="240" w:lineRule="auto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 xml:space="preserve">: </w:t>
      </w:r>
    </w:p>
    <w:p w:rsidR="00452C80" w:rsidRPr="00784EC5" w:rsidRDefault="00452C80" w:rsidP="00452C8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 xml:space="preserve">-El seguimiento de los ciclos </w:t>
      </w:r>
      <w:r>
        <w:rPr>
          <w:rFonts w:asciiTheme="minorHAnsi" w:hAnsiTheme="minorHAnsi"/>
          <w:lang w:val="es-CL"/>
        </w:rPr>
        <w:t xml:space="preserve">de calidad </w:t>
      </w:r>
      <w:r w:rsidRPr="004515D8">
        <w:rPr>
          <w:rFonts w:asciiTheme="minorHAnsi" w:hAnsiTheme="minorHAnsi"/>
          <w:lang w:val="es-CL"/>
        </w:rPr>
        <w:t>se</w:t>
      </w:r>
      <w:r>
        <w:rPr>
          <w:rFonts w:asciiTheme="minorHAnsi" w:hAnsiTheme="minorHAnsi"/>
          <w:lang w:val="es-CL"/>
        </w:rPr>
        <w:t xml:space="preserve"> ha</w:t>
      </w:r>
      <w:r w:rsidRPr="004515D8">
        <w:rPr>
          <w:rFonts w:asciiTheme="minorHAnsi" w:hAnsiTheme="minorHAnsi"/>
          <w:lang w:val="es-CL"/>
        </w:rPr>
        <w:t>rá trimestralme</w:t>
      </w:r>
      <w:r>
        <w:rPr>
          <w:rFonts w:asciiTheme="minorHAnsi" w:hAnsiTheme="minorHAnsi"/>
          <w:lang w:val="es-CL"/>
        </w:rPr>
        <w:t>nte y después de cada trimestre</w:t>
      </w:r>
      <w:r w:rsidRPr="004515D8">
        <w:rPr>
          <w:rFonts w:asciiTheme="minorHAnsi" w:hAnsiTheme="minorHAnsi"/>
          <w:lang w:val="es-CL"/>
        </w:rPr>
        <w:t xml:space="preserve"> usted deberá </w:t>
      </w:r>
      <w:r>
        <w:rPr>
          <w:rFonts w:asciiTheme="minorHAnsi" w:hAnsiTheme="minorHAnsi"/>
          <w:lang w:val="es-CL"/>
        </w:rPr>
        <w:t xml:space="preserve">solicitar a sus direcciones, los seguimientos trimestrales actualizados de sus ciclos, </w:t>
      </w:r>
      <w:r w:rsidRPr="004515D8">
        <w:rPr>
          <w:rFonts w:asciiTheme="minorHAnsi" w:hAnsiTheme="minorHAnsi"/>
          <w:lang w:val="es-CL"/>
        </w:rPr>
        <w:t xml:space="preserve">para  realizar </w:t>
      </w:r>
      <w:r>
        <w:rPr>
          <w:rFonts w:asciiTheme="minorHAnsi" w:hAnsiTheme="minorHAnsi"/>
          <w:lang w:val="es-CL"/>
        </w:rPr>
        <w:t>la actualización</w:t>
      </w:r>
      <w:r w:rsidRPr="004515D8">
        <w:rPr>
          <w:rFonts w:asciiTheme="minorHAnsi" w:hAnsiTheme="minorHAnsi"/>
          <w:lang w:val="es-CL"/>
        </w:rPr>
        <w:t xml:space="preserve"> de este ciclo de calidad</w:t>
      </w:r>
      <w:r>
        <w:rPr>
          <w:rFonts w:asciiTheme="minorHAnsi" w:hAnsiTheme="minorHAnsi"/>
          <w:lang w:val="es-CL"/>
        </w:rPr>
        <w:t xml:space="preserve">, sugerimos hacerlo en una reunión en conjunto con los </w:t>
      </w:r>
      <w:r w:rsidRPr="004515D8">
        <w:rPr>
          <w:rFonts w:asciiTheme="minorHAnsi" w:hAnsiTheme="minorHAnsi"/>
          <w:lang w:val="es-CL"/>
        </w:rPr>
        <w:t>directores</w:t>
      </w:r>
      <w:r>
        <w:rPr>
          <w:rFonts w:asciiTheme="minorHAnsi" w:hAnsiTheme="minorHAnsi"/>
          <w:lang w:val="es-CL"/>
        </w:rPr>
        <w:t xml:space="preserve"> de unidades</w:t>
      </w:r>
      <w:r w:rsidRPr="004515D8">
        <w:rPr>
          <w:rFonts w:asciiTheme="minorHAnsi" w:hAnsiTheme="minorHAnsi"/>
          <w:lang w:val="es-CL"/>
        </w:rPr>
        <w:t xml:space="preserve">, para que reciban retroalimentación, en </w:t>
      </w:r>
      <w:r>
        <w:rPr>
          <w:rFonts w:asciiTheme="minorHAnsi" w:hAnsiTheme="minorHAnsi"/>
          <w:lang w:val="es-CL"/>
        </w:rPr>
        <w:t>una sesión del consejo de su vicerrectoría</w:t>
      </w:r>
      <w:r w:rsidRPr="004515D8">
        <w:rPr>
          <w:rFonts w:asciiTheme="minorHAnsi" w:hAnsiTheme="minorHAnsi"/>
          <w:lang w:val="es-CL"/>
        </w:rPr>
        <w:t>.</w:t>
      </w:r>
    </w:p>
    <w:p w:rsidR="00452C80" w:rsidRPr="00784EC5" w:rsidRDefault="00452C80" w:rsidP="00452C8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Pr="004515D8">
        <w:rPr>
          <w:rFonts w:asciiTheme="minorHAnsi" w:hAnsiTheme="minorHAnsi"/>
          <w:lang w:val="es-CL"/>
        </w:rPr>
        <w:t xml:space="preserve"> en las tablas </w:t>
      </w:r>
      <w:r w:rsidRPr="001D3736">
        <w:rPr>
          <w:rFonts w:asciiTheme="minorHAnsi" w:hAnsiTheme="minorHAnsi"/>
          <w:color w:val="000000" w:themeColor="text1"/>
          <w:lang w:val="es-CL"/>
        </w:rPr>
        <w:t>1-5</w:t>
      </w:r>
      <w:r>
        <w:rPr>
          <w:rFonts w:asciiTheme="minorHAnsi" w:hAnsiTheme="minorHAnsi"/>
          <w:lang w:val="es-CL"/>
        </w:rPr>
        <w:t xml:space="preserve">, corresponderá a la realidad de su vicerrectoría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452C80" w:rsidRPr="00784EC5" w:rsidRDefault="00452C80" w:rsidP="00452C8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452C80" w:rsidRPr="00784EC5" w:rsidRDefault="00452C80" w:rsidP="00452C80">
      <w:pPr>
        <w:spacing w:line="240" w:lineRule="auto"/>
        <w:jc w:val="both"/>
        <w:rPr>
          <w:rFonts w:asciiTheme="minorHAnsi" w:hAnsiTheme="minorHAnsi"/>
          <w:lang w:val="es-CL"/>
        </w:rPr>
      </w:pPr>
      <w:r w:rsidRPr="00784EC5">
        <w:rPr>
          <w:rFonts w:asciiTheme="minorHAnsi" w:hAnsiTheme="minorHAnsi"/>
          <w:lang w:val="es-CL"/>
        </w:rPr>
        <w:t>Tablas con el registro de la información:</w:t>
      </w:r>
    </w:p>
    <w:p w:rsidR="00452C80" w:rsidRPr="00784EC5" w:rsidRDefault="00452C80" w:rsidP="00452C80">
      <w:pPr>
        <w:spacing w:after="0" w:line="240" w:lineRule="auto"/>
        <w:ind w:left="1414" w:hanging="705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I. </w:t>
      </w:r>
      <w:r w:rsidRPr="00784EC5">
        <w:rPr>
          <w:rFonts w:asciiTheme="minorHAnsi" w:hAnsiTheme="minorHAnsi"/>
          <w:lang w:val="es-CL"/>
        </w:rPr>
        <w:tab/>
      </w: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N°1)</w:t>
      </w:r>
    </w:p>
    <w:p w:rsidR="00452C80" w:rsidRPr="00784EC5" w:rsidRDefault="00452C80" w:rsidP="00452C80">
      <w:pPr>
        <w:spacing w:after="0" w:line="240" w:lineRule="auto"/>
        <w:ind w:left="1413" w:hanging="705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II. </w:t>
      </w:r>
      <w:r w:rsidRPr="00784EC5">
        <w:rPr>
          <w:rFonts w:asciiTheme="minorHAnsi" w:hAnsiTheme="minorHAnsi"/>
          <w:lang w:val="es-CL"/>
        </w:rPr>
        <w:tab/>
        <w:t>Registrar los planes de mejora del informe de autoevaluación institucional 2011, que son de su responsabilidad y evaluar el nivel de logro.</w:t>
      </w:r>
      <w:r w:rsidRPr="00784EC5">
        <w:rPr>
          <w:rFonts w:asciiTheme="minorHAnsi" w:hAnsiTheme="minorHAnsi"/>
          <w:b/>
          <w:lang w:val="es-CL"/>
        </w:rPr>
        <w:t xml:space="preserve"> (Tabla Nº2)</w:t>
      </w:r>
    </w:p>
    <w:p w:rsidR="00452C80" w:rsidRPr="00784EC5" w:rsidRDefault="00452C80" w:rsidP="00452C80">
      <w:pPr>
        <w:spacing w:after="0" w:line="240" w:lineRule="auto"/>
        <w:ind w:left="1413" w:hanging="705"/>
        <w:jc w:val="both"/>
        <w:rPr>
          <w:rFonts w:asciiTheme="minorHAnsi" w:hAnsiTheme="minorHAnsi"/>
          <w:lang w:val="es-CL"/>
        </w:rPr>
      </w:pPr>
      <w:r w:rsidRPr="00784EC5">
        <w:rPr>
          <w:rFonts w:asciiTheme="minorHAnsi" w:hAnsiTheme="minorHAnsi"/>
          <w:lang w:val="es-CL"/>
        </w:rPr>
        <w:t xml:space="preserve">III. </w:t>
      </w:r>
      <w:r w:rsidRPr="00784EC5">
        <w:rPr>
          <w:rFonts w:asciiTheme="minorHAnsi" w:hAnsiTheme="minorHAnsi"/>
          <w:lang w:val="es-CL"/>
        </w:rPr>
        <w:tab/>
        <w:t xml:space="preserve">Analizar y registrar  las metas del cuadro de mando integral de la planificación estratégica 2012-2016, donde figura su Vicerrectoría como responsable de estrategia o como fuente de información e identificar el nivel de logro. </w:t>
      </w:r>
      <w:r w:rsidRPr="00784EC5">
        <w:rPr>
          <w:rFonts w:asciiTheme="minorHAnsi" w:hAnsiTheme="minorHAnsi"/>
          <w:b/>
          <w:lang w:val="es-CL"/>
        </w:rPr>
        <w:t>(Tabla Nº 3)</w:t>
      </w:r>
    </w:p>
    <w:p w:rsidR="00452C80" w:rsidRDefault="00452C80" w:rsidP="00452C80">
      <w:pPr>
        <w:pStyle w:val="Prrafodelista"/>
        <w:spacing w:after="0" w:line="240" w:lineRule="auto"/>
        <w:ind w:left="1410" w:hanging="690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IV. </w:t>
      </w:r>
      <w:r w:rsidRPr="00784EC5">
        <w:rPr>
          <w:rFonts w:asciiTheme="minorHAnsi" w:hAnsiTheme="minorHAnsi"/>
          <w:lang w:val="es-CL"/>
        </w:rPr>
        <w:tab/>
        <w:t>Analizar los aspectos a</w:t>
      </w:r>
      <w:r w:rsidR="00381F9F">
        <w:rPr>
          <w:rFonts w:asciiTheme="minorHAnsi" w:hAnsiTheme="minorHAnsi"/>
          <w:lang w:val="es-CL"/>
        </w:rPr>
        <w:t xml:space="preserve"> mejorar de los planes de trabajo</w:t>
      </w:r>
      <w:r w:rsidRPr="00784EC5">
        <w:rPr>
          <w:rFonts w:asciiTheme="minorHAnsi" w:hAnsiTheme="minorHAnsi"/>
          <w:lang w:val="es-CL"/>
        </w:rPr>
        <w:t xml:space="preserve"> de los ciclos de calidad de las unidades que pertenecen a la Vicerrectoría, e identificar los aspectos transversales, para luego  registrar los que le competen a la Vicerrectoría en cuanto a su cumplimiento. </w:t>
      </w:r>
      <w:r w:rsidRPr="00784EC5">
        <w:rPr>
          <w:rFonts w:asciiTheme="minorHAnsi" w:hAnsiTheme="minorHAnsi"/>
          <w:b/>
          <w:lang w:val="es-CL"/>
        </w:rPr>
        <w:t>(Tabla N°4)</w:t>
      </w:r>
    </w:p>
    <w:p w:rsidR="00452C80" w:rsidRPr="00784EC5" w:rsidRDefault="00452C80" w:rsidP="00452C80">
      <w:pPr>
        <w:pStyle w:val="Prrafodelista"/>
        <w:spacing w:after="0" w:line="240" w:lineRule="auto"/>
        <w:ind w:left="1410" w:hanging="690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V.   </w:t>
      </w:r>
      <w:r>
        <w:rPr>
          <w:rFonts w:asciiTheme="minorHAnsi" w:hAnsiTheme="minorHAnsi"/>
          <w:lang w:val="es-CL"/>
        </w:rPr>
        <w:tab/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N°5)</w:t>
      </w:r>
    </w:p>
    <w:p w:rsidR="00452C80" w:rsidRPr="004E668E" w:rsidRDefault="00452C80" w:rsidP="00452C80">
      <w:pPr>
        <w:spacing w:after="0" w:line="240" w:lineRule="auto"/>
        <w:jc w:val="both"/>
        <w:rPr>
          <w:rFonts w:asciiTheme="minorHAnsi" w:hAnsiTheme="minorHAnsi"/>
          <w:lang w:val="es-CL"/>
        </w:rPr>
      </w:pPr>
      <w:r w:rsidRPr="004E668E">
        <w:rPr>
          <w:rFonts w:asciiTheme="minorHAnsi" w:hAnsiTheme="minorHAnsi"/>
          <w:lang w:val="es-CL"/>
        </w:rPr>
        <w:tab/>
        <w:t xml:space="preserve">VI. </w:t>
      </w:r>
      <w:r w:rsidRPr="004E668E">
        <w:rPr>
          <w:rFonts w:asciiTheme="minorHAnsi" w:hAnsiTheme="minorHAnsi"/>
          <w:lang w:val="es-CL"/>
        </w:rPr>
        <w:tab/>
      </w:r>
      <w:r>
        <w:rPr>
          <w:rFonts w:asciiTheme="minorHAnsi" w:hAnsiTheme="minorHAnsi"/>
          <w:lang w:val="es-CL"/>
        </w:rPr>
        <w:t>A</w:t>
      </w:r>
      <w:r w:rsidRPr="004E668E">
        <w:rPr>
          <w:rFonts w:asciiTheme="minorHAnsi" w:hAnsiTheme="minorHAnsi"/>
          <w:lang w:val="es-CL"/>
        </w:rPr>
        <w:t xml:space="preserve">nálisis FODA de la Vicerrectoría. </w:t>
      </w:r>
      <w:r w:rsidRPr="004E668E">
        <w:rPr>
          <w:rFonts w:asciiTheme="minorHAnsi" w:hAnsiTheme="minorHAnsi"/>
          <w:b/>
          <w:lang w:val="es-CL"/>
        </w:rPr>
        <w:t>(Tabla Nº6)</w:t>
      </w:r>
    </w:p>
    <w:p w:rsidR="00452C80" w:rsidRPr="00784EC5" w:rsidRDefault="00452C80" w:rsidP="00452C80">
      <w:pPr>
        <w:pStyle w:val="Prrafodelista"/>
        <w:spacing w:after="0" w:line="240" w:lineRule="auto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VII. </w:t>
      </w:r>
      <w:r w:rsidRPr="00784EC5">
        <w:rPr>
          <w:rFonts w:asciiTheme="minorHAnsi" w:hAnsiTheme="minorHAnsi"/>
          <w:lang w:val="es-CL"/>
        </w:rPr>
        <w:tab/>
      </w: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Vicerrectoría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760FB4" w:rsidRPr="003732DE" w:rsidRDefault="00452C80" w:rsidP="00452C80">
      <w:pPr>
        <w:pStyle w:val="Prrafodelista"/>
        <w:spacing w:after="0" w:line="240" w:lineRule="auto"/>
        <w:jc w:val="both"/>
        <w:rPr>
          <w:rFonts w:asciiTheme="minorHAnsi" w:hAnsiTheme="minorHAnsi"/>
          <w:lang w:val="es-CL"/>
        </w:rPr>
      </w:pPr>
      <w:r w:rsidRPr="00784EC5">
        <w:rPr>
          <w:rFonts w:asciiTheme="minorHAnsi" w:hAnsiTheme="minorHAnsi"/>
          <w:lang w:val="es-CL"/>
        </w:rPr>
        <w:t xml:space="preserve">VIII. </w:t>
      </w:r>
      <w:r w:rsidRPr="00784EC5">
        <w:rPr>
          <w:rFonts w:asciiTheme="minorHAnsi" w:hAnsiTheme="minorHAnsi"/>
          <w:lang w:val="es-CL"/>
        </w:rPr>
        <w:tab/>
      </w: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>de trabajo de la Vicerrectoría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8</w:t>
      </w:r>
      <w:r w:rsidRPr="004515D8">
        <w:rPr>
          <w:rFonts w:asciiTheme="minorHAnsi" w:hAnsiTheme="minorHAnsi"/>
          <w:b/>
          <w:lang w:val="es-CL"/>
        </w:rPr>
        <w:t>)</w:t>
      </w:r>
    </w:p>
    <w:p w:rsidR="001D157D" w:rsidRPr="003732DE" w:rsidRDefault="001D157D" w:rsidP="001D157D">
      <w:pPr>
        <w:jc w:val="both"/>
        <w:rPr>
          <w:rFonts w:asciiTheme="minorHAnsi" w:hAnsiTheme="minorHAnsi"/>
          <w:lang w:val="es-CL"/>
        </w:rPr>
      </w:pPr>
    </w:p>
    <w:p w:rsidR="00A02A20" w:rsidRPr="003732DE" w:rsidRDefault="00A02A20" w:rsidP="001D157D">
      <w:pPr>
        <w:jc w:val="both"/>
        <w:rPr>
          <w:rFonts w:asciiTheme="minorHAnsi" w:hAnsiTheme="minorHAnsi"/>
          <w:lang w:val="es-CL"/>
        </w:rPr>
      </w:pPr>
    </w:p>
    <w:p w:rsidR="00452C80" w:rsidRDefault="00452C80" w:rsidP="00452C80">
      <w:pPr>
        <w:jc w:val="center"/>
        <w:rPr>
          <w:rFonts w:asciiTheme="minorHAnsi" w:hAnsiTheme="minorHAnsi"/>
          <w:b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452C80" w:rsidRDefault="00452C80" w:rsidP="00452C80">
      <w:pPr>
        <w:rPr>
          <w:rFonts w:asciiTheme="minorHAnsi" w:hAnsiTheme="minorHAnsi"/>
          <w:b/>
          <w:lang w:val="es-CL"/>
        </w:rPr>
      </w:pPr>
    </w:p>
    <w:p w:rsidR="00452C80" w:rsidRDefault="00452C80" w:rsidP="00452C80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-191770</wp:posOffset>
            </wp:positionV>
            <wp:extent cx="8258810" cy="5594350"/>
            <wp:effectExtent l="19050" t="0" r="27940" b="635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452C80" w:rsidRDefault="00452C80" w:rsidP="00452C80">
      <w:pPr>
        <w:rPr>
          <w:rFonts w:asciiTheme="minorHAnsi" w:hAnsiTheme="minorHAnsi"/>
          <w:b/>
          <w:lang w:val="es-CL"/>
        </w:rPr>
      </w:pPr>
    </w:p>
    <w:p w:rsidR="00452C80" w:rsidRDefault="00452C80" w:rsidP="00452C80">
      <w:pPr>
        <w:rPr>
          <w:rFonts w:asciiTheme="minorHAnsi" w:hAnsiTheme="minorHAnsi"/>
          <w:b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452C80" w:rsidRPr="00784EC5" w:rsidRDefault="00452C80" w:rsidP="00452C80">
      <w:pPr>
        <w:rPr>
          <w:rFonts w:asciiTheme="minorHAnsi" w:hAnsiTheme="minorHAnsi"/>
          <w:lang w:val="es-CL"/>
        </w:rPr>
      </w:pPr>
    </w:p>
    <w:p w:rsidR="00A02A20" w:rsidRPr="003732DE" w:rsidRDefault="00A02A20" w:rsidP="001D157D">
      <w:pPr>
        <w:jc w:val="both"/>
        <w:rPr>
          <w:rFonts w:asciiTheme="minorHAnsi" w:hAnsiTheme="minorHAnsi"/>
          <w:lang w:val="es-CL"/>
        </w:rPr>
      </w:pPr>
    </w:p>
    <w:p w:rsidR="001D157D" w:rsidRDefault="001D157D" w:rsidP="00B10800">
      <w:pPr>
        <w:rPr>
          <w:rFonts w:asciiTheme="minorHAnsi" w:hAnsiTheme="minorHAnsi"/>
          <w:lang w:val="es-CL"/>
        </w:rPr>
      </w:pPr>
    </w:p>
    <w:p w:rsidR="00452C80" w:rsidRDefault="00452C80" w:rsidP="00B10800">
      <w:pPr>
        <w:rPr>
          <w:rFonts w:asciiTheme="minorHAnsi" w:hAnsiTheme="minorHAnsi"/>
          <w:lang w:val="es-CL"/>
        </w:rPr>
      </w:pPr>
    </w:p>
    <w:p w:rsidR="004F131E" w:rsidRDefault="004F131E" w:rsidP="00452C80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52C80" w:rsidRPr="00970DC3" w:rsidRDefault="00452C80" w:rsidP="00452C80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452C80" w:rsidRPr="00325751" w:rsidRDefault="00452C80" w:rsidP="00452C80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325751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452C80" w:rsidRDefault="00C56565" w:rsidP="00452C80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C56565">
        <w:rPr>
          <w:noProof/>
        </w:rPr>
        <w:pict>
          <v:roundrect id="Rectángulo redondeado 3" o:spid="_x0000_s1026" style="position:absolute;margin-left:197.8pt;margin-top:5.75pt;width:336pt;height:219.35pt;z-index:251658240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3" o:title="" recolor="t" rotate="t" type="frame"/>
          </v:roundrect>
        </w:pict>
      </w:r>
    </w:p>
    <w:p w:rsidR="00452C80" w:rsidRDefault="00452C80" w:rsidP="00452C80">
      <w:pPr>
        <w:rPr>
          <w:rFonts w:asciiTheme="minorHAnsi" w:hAnsiTheme="minorHAnsi"/>
          <w:b/>
          <w:color w:val="000000" w:themeColor="text1"/>
          <w:lang w:val="es-CL"/>
        </w:rPr>
      </w:pPr>
    </w:p>
    <w:p w:rsidR="00452C80" w:rsidRDefault="00452C80" w:rsidP="00452C80">
      <w:pPr>
        <w:rPr>
          <w:rFonts w:asciiTheme="minorHAnsi" w:hAnsiTheme="minorHAnsi"/>
          <w:b/>
          <w:color w:val="000000" w:themeColor="text1"/>
          <w:lang w:val="es-CL"/>
        </w:rPr>
      </w:pPr>
    </w:p>
    <w:p w:rsidR="00452C80" w:rsidRDefault="00452C80" w:rsidP="00452C80">
      <w:pPr>
        <w:rPr>
          <w:rFonts w:asciiTheme="minorHAnsi" w:hAnsiTheme="minorHAnsi"/>
          <w:b/>
          <w:color w:val="000000" w:themeColor="text1"/>
          <w:lang w:val="es-CL"/>
        </w:rPr>
      </w:pPr>
    </w:p>
    <w:p w:rsidR="00452C80" w:rsidRDefault="00452C80" w:rsidP="00B10800">
      <w:pPr>
        <w:rPr>
          <w:rFonts w:asciiTheme="minorHAnsi" w:hAnsiTheme="minorHAnsi"/>
          <w:lang w:val="es-CL"/>
        </w:rPr>
      </w:pPr>
    </w:p>
    <w:p w:rsidR="00452C80" w:rsidRDefault="00452C80" w:rsidP="00B10800">
      <w:pPr>
        <w:rPr>
          <w:rFonts w:asciiTheme="minorHAnsi" w:hAnsiTheme="minorHAnsi"/>
          <w:lang w:val="es-CL"/>
        </w:rPr>
      </w:pPr>
    </w:p>
    <w:p w:rsidR="00452C80" w:rsidRDefault="00452C80" w:rsidP="00B10800">
      <w:pPr>
        <w:rPr>
          <w:rFonts w:asciiTheme="minorHAnsi" w:hAnsiTheme="minorHAnsi"/>
          <w:lang w:val="es-CL"/>
        </w:rPr>
      </w:pPr>
    </w:p>
    <w:p w:rsidR="00452C80" w:rsidRDefault="00452C80" w:rsidP="00B10800">
      <w:pPr>
        <w:rPr>
          <w:rFonts w:asciiTheme="minorHAnsi" w:hAnsiTheme="minorHAnsi"/>
          <w:lang w:val="es-CL"/>
        </w:rPr>
      </w:pPr>
    </w:p>
    <w:p w:rsidR="00452C80" w:rsidRPr="003732DE" w:rsidRDefault="00452C80" w:rsidP="00B10800">
      <w:pPr>
        <w:rPr>
          <w:rFonts w:asciiTheme="minorHAnsi" w:hAnsiTheme="minorHAnsi"/>
          <w:lang w:val="es-CL"/>
        </w:rPr>
      </w:pPr>
    </w:p>
    <w:p w:rsidR="001D157D" w:rsidRPr="003732DE" w:rsidRDefault="001D157D" w:rsidP="00B10800">
      <w:pPr>
        <w:rPr>
          <w:rFonts w:asciiTheme="minorHAnsi" w:hAnsiTheme="minorHAnsi"/>
          <w:lang w:val="es-CL"/>
        </w:rPr>
      </w:pPr>
    </w:p>
    <w:p w:rsidR="00452C80" w:rsidRDefault="00452C80" w:rsidP="00452C80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4515D8">
        <w:rPr>
          <w:rFonts w:asciiTheme="minorHAnsi" w:hAnsiTheme="minorHAnsi"/>
          <w:b/>
          <w:color w:val="000000" w:themeColor="text1"/>
          <w:lang w:val="es-CL"/>
        </w:rPr>
        <w:lastRenderedPageBreak/>
        <w:t xml:space="preserve">TABLA N°1: </w:t>
      </w:r>
      <w:r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UNIDAD QUE QUEDARON PENDIENTES EN EL CICLO DE CALIDAD DEL AÑO 2012</w:t>
      </w:r>
      <w:r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452C80" w:rsidRDefault="00452C80" w:rsidP="00452C80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452C80" w:rsidRPr="004515D8" w:rsidTr="00A15104">
        <w:tc>
          <w:tcPr>
            <w:tcW w:w="6804" w:type="dxa"/>
            <w:shd w:val="clear" w:color="auto" w:fill="8DB3E2" w:themeFill="text2" w:themeFillTint="66"/>
          </w:tcPr>
          <w:p w:rsidR="00452C80" w:rsidRDefault="00452C80" w:rsidP="00A15104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452C80" w:rsidRPr="001F5545" w:rsidRDefault="00452C80" w:rsidP="00A15104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452C80" w:rsidRPr="001F5545" w:rsidRDefault="00452C80" w:rsidP="00A15104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452C80" w:rsidRPr="004515D8" w:rsidTr="00A15104">
        <w:tc>
          <w:tcPr>
            <w:tcW w:w="6804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452C80" w:rsidRPr="004515D8" w:rsidRDefault="00452C80" w:rsidP="00A15104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E513BD" w:rsidRPr="003732DE" w:rsidRDefault="00373AAB" w:rsidP="00B10800">
      <w:pPr>
        <w:rPr>
          <w:rFonts w:asciiTheme="minorHAnsi" w:hAnsiTheme="minorHAnsi"/>
          <w:lang w:val="es-CL"/>
        </w:rPr>
      </w:pPr>
      <w:r w:rsidRPr="003732DE">
        <w:rPr>
          <w:rFonts w:asciiTheme="minorHAnsi" w:hAnsiTheme="minorHAnsi"/>
          <w:b/>
        </w:rPr>
        <w:t>*Agregue las filas que le sean necesarias</w:t>
      </w:r>
    </w:p>
    <w:p w:rsidR="00E513BD" w:rsidRPr="003732DE" w:rsidRDefault="00E513BD" w:rsidP="00B10800">
      <w:pPr>
        <w:rPr>
          <w:rFonts w:asciiTheme="minorHAnsi" w:hAnsiTheme="minorHAnsi"/>
          <w:lang w:val="es-CL"/>
        </w:rPr>
      </w:pPr>
    </w:p>
    <w:p w:rsidR="00E513BD" w:rsidRPr="003732DE" w:rsidRDefault="00E513BD" w:rsidP="00B10800">
      <w:pPr>
        <w:rPr>
          <w:rFonts w:asciiTheme="minorHAnsi" w:hAnsiTheme="minorHAnsi"/>
          <w:lang w:val="es-CL"/>
        </w:rPr>
      </w:pPr>
    </w:p>
    <w:p w:rsidR="00E513BD" w:rsidRPr="003732DE" w:rsidRDefault="00E513BD" w:rsidP="00B10800">
      <w:pPr>
        <w:rPr>
          <w:rFonts w:asciiTheme="minorHAnsi" w:hAnsiTheme="minorHAnsi"/>
          <w:lang w:val="es-CL"/>
        </w:rPr>
      </w:pPr>
    </w:p>
    <w:p w:rsidR="00E513BD" w:rsidRPr="003732DE" w:rsidRDefault="00E513BD" w:rsidP="00B10800">
      <w:pPr>
        <w:rPr>
          <w:rFonts w:asciiTheme="minorHAnsi" w:hAnsiTheme="minorHAnsi"/>
          <w:lang w:val="es-CL"/>
        </w:rPr>
      </w:pPr>
    </w:p>
    <w:p w:rsidR="00452C80" w:rsidRDefault="00452C80" w:rsidP="00452C80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4515D8">
        <w:rPr>
          <w:rFonts w:asciiTheme="minorHAnsi" w:hAnsiTheme="minorHAnsi"/>
          <w:b/>
          <w:lang w:val="es-CL"/>
        </w:rPr>
        <w:lastRenderedPageBreak/>
        <w:t xml:space="preserve">TABLA N°2: </w:t>
      </w:r>
      <w:r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452C80" w:rsidRPr="00566A99" w:rsidRDefault="00452C80" w:rsidP="00452C80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0967FA" w:rsidRPr="003732DE" w:rsidRDefault="00452C80" w:rsidP="00452C80">
      <w:pPr>
        <w:rPr>
          <w:rFonts w:asciiTheme="minorHAnsi" w:hAnsiTheme="minorHAnsi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924" w:type="pct"/>
        <w:tblLook w:val="04A0"/>
      </w:tblPr>
      <w:tblGrid>
        <w:gridCol w:w="2236"/>
        <w:gridCol w:w="2694"/>
        <w:gridCol w:w="2976"/>
        <w:gridCol w:w="2979"/>
        <w:gridCol w:w="1697"/>
        <w:gridCol w:w="1561"/>
      </w:tblGrid>
      <w:tr w:rsidR="00452C80" w:rsidRPr="003732DE" w:rsidTr="00452C80">
        <w:trPr>
          <w:cnfStyle w:val="100000000000"/>
          <w:trHeight w:val="340"/>
        </w:trPr>
        <w:tc>
          <w:tcPr>
            <w:cnfStyle w:val="001000000000"/>
            <w:tcW w:w="790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52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cnfStyle w:val="100000000000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52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cnfStyle w:val="100000000000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1053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cnfStyle w:val="100000000000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600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cnfStyle w:val="100000000000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52" w:type="pct"/>
            <w:shd w:val="clear" w:color="auto" w:fill="8DB3E2" w:themeFill="text2" w:themeFillTint="66"/>
          </w:tcPr>
          <w:p w:rsidR="00452C80" w:rsidRPr="003732DE" w:rsidRDefault="00452C80" w:rsidP="002236E9">
            <w:pPr>
              <w:spacing w:after="0" w:line="240" w:lineRule="auto"/>
              <w:cnfStyle w:val="100000000000"/>
              <w:rPr>
                <w:rFonts w:asciiTheme="minorHAnsi" w:hAnsiTheme="minorHAnsi" w:cs="Calibri"/>
              </w:rPr>
            </w:pPr>
            <w:r w:rsidRPr="003732DE">
              <w:rPr>
                <w:rFonts w:asciiTheme="minorHAnsi" w:hAnsiTheme="minorHAnsi" w:cs="Calibri"/>
              </w:rPr>
              <w:t>Nivel de Logro</w:t>
            </w: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spacing w:after="0" w:line="240" w:lineRule="auto"/>
              <w:rPr>
                <w:rFonts w:asciiTheme="minorHAnsi" w:hAnsiTheme="minorHAnsi" w:cs="Calibri"/>
                <w:b w:val="0"/>
              </w:rPr>
            </w:pPr>
            <w:r w:rsidRPr="003732DE">
              <w:rPr>
                <w:rFonts w:asciiTheme="minorHAnsi" w:hAnsiTheme="minorHAnsi" w:cs="Calibri"/>
                <w:b w:val="0"/>
              </w:rPr>
              <w:t>Conocimiento en los procedimientos en la toma de decisiones.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sz w:val="22"/>
                <w:szCs w:val="22"/>
              </w:rPr>
              <w:t>Ajustarse a la reglamentación vigente.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sz w:val="22"/>
                <w:szCs w:val="22"/>
              </w:rPr>
              <w:t>Socialización de los reglamentos del área con el 100% funcionarios, docentes y estudiantes.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sz w:val="22"/>
                <w:szCs w:val="22"/>
              </w:rPr>
              <w:t>Porcentaje de funcionarios, docentes y estudiantes, que participan de la socialización.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sz w:val="22"/>
                <w:szCs w:val="22"/>
              </w:rPr>
              <w:t>Agosto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  <w:vMerge w:val="restart"/>
          </w:tcPr>
          <w:p w:rsidR="00452C80" w:rsidRPr="003732DE" w:rsidRDefault="00452C80" w:rsidP="002236E9">
            <w:pPr>
              <w:pStyle w:val="Prrafodelista"/>
              <w:spacing w:after="0" w:line="240" w:lineRule="auto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3732DE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pStyle w:val="Textosinformato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  <w:t>Aumentar el presupuesto destinado a perfeccionamiento y capacitación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Implementar fórmulas para aumentar el presupuesto de perfeccionamiento y capacitación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  <w:t>Aumento de un 47% en el presup</w:t>
            </w:r>
            <w:bookmarkStart w:id="0" w:name="_GoBack"/>
            <w:bookmarkEnd w:id="0"/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  <w:t>uesto de perfeccionamiento del año anterior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Porcentaje de incremento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Anual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color w:val="000000"/>
              </w:rPr>
            </w:pPr>
            <w:r w:rsidRPr="003732DE">
              <w:rPr>
                <w:rFonts w:asciiTheme="minorHAnsi" w:hAnsiTheme="minorHAnsi" w:cs="Arial"/>
                <w:b w:val="0"/>
                <w:color w:val="000000"/>
              </w:rPr>
              <w:t>Equipamiento de Salas de clases con equipos multimedia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CL"/>
              </w:rPr>
              <w:t xml:space="preserve">Adquirir    equipos multimedia  para las salas de clases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Equipos multimedia en a lo menos el 50% de las salas de clases adquiridos e instalados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equipos multimedia instalados en salas de clases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Marzo de 2012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tabs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color w:val="000000"/>
              </w:rPr>
            </w:pPr>
            <w:r w:rsidRPr="003732DE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1052" w:type="pct"/>
          </w:tcPr>
          <w:p w:rsidR="00452C80" w:rsidRPr="003732DE" w:rsidRDefault="00D6330D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Aumentar en un 5% la inversión anual en bibliografía especializada*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Millones invertidos  </w:t>
            </w:r>
          </w:p>
        </w:tc>
        <w:tc>
          <w:tcPr>
            <w:tcW w:w="600" w:type="pct"/>
          </w:tcPr>
          <w:p w:rsidR="00452C80" w:rsidRPr="003732DE" w:rsidRDefault="00D6330D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anualmente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32DE"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  <w:lastRenderedPageBreak/>
              <w:t>Equipamiento de laboratorios de Ciencias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Equipar laboratorios de Ciencias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Sala para laboratorio de microbiología acondicionada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Sala acondicionada para laboratorio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Agosto de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 lo menos el 100% de los requerimientos básicos para los laboratorios adquiridos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requerimientos adquiridos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Agosto de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  <w:r w:rsidRPr="003732DE"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  <w:t>Mejorar la velocidad del servicio de internet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Mejorar la velocidad de internet en el Campus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Contratación de los servicios de internet con una velocidad de 100 MG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Servicio contratado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  <w:r w:rsidRPr="003732DE"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  <w:t xml:space="preserve">Mejorar las residencias estudiantiles y los edificios en general. </w:t>
            </w:r>
          </w:p>
        </w:tc>
        <w:tc>
          <w:tcPr>
            <w:tcW w:w="952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Realizar mantención y remodelación de la infraestructura de las residencias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Mantención del  100% de los edificios del campus y de las residencias estudiantiles que lo requieran 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edificios con mantención realizada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Enero – Febrero  de cada año 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</w:p>
        </w:tc>
        <w:tc>
          <w:tcPr>
            <w:tcW w:w="952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Mantención y readecuación de baños y piezas de las residencias estudiantiles entre otros. 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Mantención de baños y residencia realizada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Febrero  - marzo del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</w:p>
        </w:tc>
        <w:tc>
          <w:tcPr>
            <w:tcW w:w="952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2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Demolición y reconstrucción de una residencia de varones  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Demolición realizada </w:t>
            </w:r>
          </w:p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Febrero  del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</w:p>
        </w:tc>
        <w:tc>
          <w:tcPr>
            <w:tcW w:w="952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2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Reconstrucción  realizada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Diciembre del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32DE"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  <w:t>Equipamiento de laboratorios de Ciencias</w:t>
            </w:r>
          </w:p>
        </w:tc>
        <w:tc>
          <w:tcPr>
            <w:tcW w:w="952" w:type="pct"/>
            <w:vMerge w:val="restar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Equipar laboratorios de Ciencias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Sala para laboratorio de microbiología acondicionada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Sala acondicionada para laboratorio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Agosto de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100000"/>
          <w:trHeight w:val="850"/>
        </w:trPr>
        <w:tc>
          <w:tcPr>
            <w:cnfStyle w:val="001000000000"/>
            <w:tcW w:w="790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eastAsia="Calibri" w:hAnsiTheme="minorHAnsi" w:cs="Arial"/>
                <w:color w:val="000000"/>
                <w:sz w:val="22"/>
                <w:szCs w:val="22"/>
                <w:lang w:val="es-ES" w:eastAsia="en-US"/>
              </w:rPr>
            </w:pPr>
          </w:p>
        </w:tc>
        <w:tc>
          <w:tcPr>
            <w:tcW w:w="952" w:type="pct"/>
            <w:vMerge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 lo menos el 100% de los requerimientos básicos para los laboratorios adquiridos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requerimientos adquiridos 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Agosto de 2011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</w:p>
        </w:tc>
      </w:tr>
      <w:tr w:rsidR="00452C80" w:rsidRPr="003732DE" w:rsidTr="00452C80">
        <w:trPr>
          <w:cnfStyle w:val="000000010000"/>
          <w:trHeight w:val="850"/>
        </w:trPr>
        <w:tc>
          <w:tcPr>
            <w:cnfStyle w:val="001000000000"/>
            <w:tcW w:w="790" w:type="pct"/>
          </w:tcPr>
          <w:p w:rsidR="00452C80" w:rsidRPr="003732DE" w:rsidRDefault="00452C80" w:rsidP="002236E9">
            <w:pPr>
              <w:pStyle w:val="Textosinformato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  <w:lastRenderedPageBreak/>
              <w:t>Aumento del presupuesto destinado a perfeccionamiento y capacitación</w:t>
            </w:r>
          </w:p>
        </w:tc>
        <w:tc>
          <w:tcPr>
            <w:tcW w:w="9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Implementar formular para aumentar el presupuesto de perfeccionamiento y capacitación </w:t>
            </w:r>
          </w:p>
        </w:tc>
        <w:tc>
          <w:tcPr>
            <w:tcW w:w="1052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s-ES"/>
              </w:rPr>
              <w:t>Aumento de un 47% en el presupuesto de perfeccionamiento del año anterior</w:t>
            </w:r>
          </w:p>
        </w:tc>
        <w:tc>
          <w:tcPr>
            <w:tcW w:w="1053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Porcentaje de incremento</w:t>
            </w:r>
          </w:p>
        </w:tc>
        <w:tc>
          <w:tcPr>
            <w:tcW w:w="600" w:type="pct"/>
          </w:tcPr>
          <w:p w:rsidR="00452C80" w:rsidRPr="003732DE" w:rsidRDefault="00452C80" w:rsidP="002236E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Anualmente</w:t>
            </w:r>
          </w:p>
        </w:tc>
        <w:tc>
          <w:tcPr>
            <w:tcW w:w="552" w:type="pct"/>
          </w:tcPr>
          <w:p w:rsidR="00452C80" w:rsidRPr="003732DE" w:rsidRDefault="00452C80" w:rsidP="002236E9">
            <w:pPr>
              <w:spacing w:after="0" w:line="240" w:lineRule="auto"/>
              <w:cnfStyle w:val="000000010000"/>
              <w:rPr>
                <w:rFonts w:asciiTheme="minorHAnsi" w:hAnsiTheme="minorHAnsi"/>
              </w:rPr>
            </w:pPr>
          </w:p>
        </w:tc>
      </w:tr>
    </w:tbl>
    <w:p w:rsidR="00113473" w:rsidRPr="003732DE" w:rsidRDefault="00113473" w:rsidP="00113473">
      <w:pPr>
        <w:rPr>
          <w:rFonts w:asciiTheme="minorHAnsi" w:hAnsiTheme="minorHAnsi"/>
          <w:b/>
        </w:rPr>
      </w:pPr>
    </w:p>
    <w:p w:rsidR="003535BF" w:rsidRPr="003732DE" w:rsidRDefault="003535BF" w:rsidP="00113473">
      <w:pPr>
        <w:rPr>
          <w:rFonts w:asciiTheme="minorHAnsi" w:hAnsiTheme="minorHAnsi"/>
          <w:b/>
        </w:rPr>
      </w:pPr>
    </w:p>
    <w:p w:rsidR="004F131E" w:rsidRDefault="004F131E">
      <w:pPr>
        <w:spacing w:after="0" w:line="240" w:lineRule="auto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br w:type="page"/>
      </w:r>
    </w:p>
    <w:p w:rsidR="000409C7" w:rsidRPr="004515D8" w:rsidRDefault="000409C7" w:rsidP="000409C7">
      <w:pPr>
        <w:spacing w:after="0"/>
        <w:rPr>
          <w:rFonts w:asciiTheme="minorHAnsi" w:hAnsiTheme="minorHAnsi"/>
          <w:b/>
          <w:color w:val="000000" w:themeColor="text1"/>
        </w:rPr>
      </w:pPr>
      <w:r w:rsidRPr="004515D8">
        <w:rPr>
          <w:rFonts w:asciiTheme="minorHAnsi" w:hAnsiTheme="minorHAnsi"/>
          <w:b/>
          <w:color w:val="000000" w:themeColor="text1"/>
          <w:lang w:val="es-CL"/>
        </w:rPr>
        <w:lastRenderedPageBreak/>
        <w:t xml:space="preserve">TABLA N°3: </w:t>
      </w:r>
      <w:r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0409C7" w:rsidRPr="00566A99" w:rsidRDefault="000409C7" w:rsidP="000409C7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0409C7" w:rsidRPr="00566A99" w:rsidRDefault="000409C7" w:rsidP="000409C7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D05FD3" w:rsidRPr="003732DE" w:rsidRDefault="000409C7" w:rsidP="000409C7">
      <w:pPr>
        <w:rPr>
          <w:rFonts w:asciiTheme="minorHAnsi" w:hAnsiTheme="minorHAnsi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0409C7" w:rsidRPr="003732DE" w:rsidTr="000409C7">
        <w:tc>
          <w:tcPr>
            <w:tcW w:w="7054" w:type="dxa"/>
            <w:shd w:val="clear" w:color="auto" w:fill="8DB3E2" w:themeFill="text2" w:themeFillTint="66"/>
          </w:tcPr>
          <w:p w:rsidR="000409C7" w:rsidRPr="003732DE" w:rsidRDefault="000409C7" w:rsidP="004E36E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732DE">
              <w:rPr>
                <w:rFonts w:asciiTheme="minorHAnsi" w:hAnsiTheme="minorHAnsi"/>
                <w:b/>
              </w:rPr>
              <w:t xml:space="preserve">Metas 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0409C7" w:rsidRPr="003732DE" w:rsidRDefault="000409C7" w:rsidP="004E36E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732DE">
              <w:rPr>
                <w:rFonts w:asciiTheme="minorHAnsi" w:hAnsiTheme="minorHAnsi"/>
                <w:b/>
              </w:rPr>
              <w:t>Nivel de logro(L,ML,NL)</w:t>
            </w: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Incrementar en un 10% anual (base año 2011) el presupuesto de perfeccionamiento para el quinquenio. (Vinculada a indicador N°43)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3732DE">
              <w:rPr>
                <w:rFonts w:asciiTheme="minorHAnsi" w:eastAsia="Times New Roman" w:hAnsiTheme="minorHAnsi"/>
              </w:rPr>
              <w:t xml:space="preserve">Responsable: Disponer de una infraestructura que aloje la administración de posgrado y sus requerimientos a Junio de 2014.  </w:t>
            </w:r>
            <w:r w:rsidRPr="003732DE">
              <w:rPr>
                <w:rFonts w:asciiTheme="minorHAnsi" w:hAnsiTheme="minorHAnsi"/>
              </w:rPr>
              <w:t>(Vinculada a indicador N°112)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Incrementar en un 10% anual el presupuesto de marketing para el quinquenio. (Vinculada a indicador N°150)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C525F0" w:rsidRPr="003732DE" w:rsidTr="000409C7">
        <w:tc>
          <w:tcPr>
            <w:tcW w:w="7054" w:type="dxa"/>
          </w:tcPr>
          <w:p w:rsidR="00C525F0" w:rsidRPr="003732DE" w:rsidRDefault="00C525F0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</w:t>
            </w:r>
            <w:r w:rsidRPr="00C525F0">
              <w:rPr>
                <w:rFonts w:asciiTheme="minorHAnsi" w:hAnsiTheme="minorHAnsi"/>
              </w:rPr>
              <w:t>Realizar estudios de presupuesto para apoyar la apertura de las carreas de Odontología, Nutrición y Kenesiología en el período 2014-2016.</w:t>
            </w:r>
            <w:r>
              <w:rPr>
                <w:rFonts w:asciiTheme="minorHAnsi" w:hAnsiTheme="minorHAnsi"/>
              </w:rPr>
              <w:t xml:space="preserve"> (Vinculada a indicador N°157b</w:t>
            </w:r>
            <w:r w:rsidRPr="003732DE">
              <w:rPr>
                <w:rFonts w:asciiTheme="minorHAnsi" w:hAnsiTheme="minorHAnsi"/>
              </w:rPr>
              <w:t>)</w:t>
            </w:r>
          </w:p>
        </w:tc>
        <w:tc>
          <w:tcPr>
            <w:tcW w:w="6946" w:type="dxa"/>
          </w:tcPr>
          <w:p w:rsidR="00C525F0" w:rsidRPr="003732DE" w:rsidRDefault="00C525F0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Firmar compromiso financiero con la entidad interesada en la mantención cada carrera deficitaria. (Vinculada a indicador N°161)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Crear departamento de adquisiciones de insumos, materiales, etc. A Julio de 2012. (Vinculada a indicador N°162)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Crear protocolo de uso eficiente de recursos (campaña, incentivos, etc.) a marzo de 2012.  (Vinculada a indicador N°164)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Establecer un espacio físico adecuado para los integrantes de la dirección de recursos humanos a Abril de 2012. (Vinculada a indicador N°177)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Implementar un protocolo de incentivos y reconocimientos para el personal de la Institución al primer semestre de 2013. (Vinculada a indicador N°183)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Perfeccionar el sistema de escala salarial y aplicable al personal de la Institución a mayo de 2013. (Vinculada a indicador N°184)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  <w:color w:val="FF0000"/>
              </w:rPr>
            </w:pPr>
            <w:r w:rsidRPr="003732DE">
              <w:rPr>
                <w:rFonts w:asciiTheme="minorHAnsi" w:hAnsiTheme="minorHAnsi"/>
              </w:rPr>
              <w:t xml:space="preserve">Responsable: Ejecutar anualmente proyectos de infraestructura propuestos </w:t>
            </w:r>
            <w:r w:rsidRPr="003732DE">
              <w:rPr>
                <w:rFonts w:asciiTheme="minorHAnsi" w:hAnsiTheme="minorHAnsi"/>
              </w:rPr>
              <w:lastRenderedPageBreak/>
              <w:t>en el Plan de Desarrollo de Infraestructura.  (Vinculada a indicador N°195)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E5734F">
            <w:pPr>
              <w:spacing w:after="0" w:line="240" w:lineRule="auto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lastRenderedPageBreak/>
              <w:t>Responsable: Incrementar un 4% anual el presupuesto para inversión en equipamiento e infraestructura respecto al año anterior a partir del 2012 (fondo depreciación laboratorios y biblioteca). (Vinculada a indicador N°198)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3535BF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Realizar a lo menos una mantención anual de las residencias estudiantiles a partir del verano 2012. (Vinculada a indicador N°204)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0409C7" w:rsidRPr="003732DE" w:rsidTr="000409C7">
        <w:tc>
          <w:tcPr>
            <w:tcW w:w="7054" w:type="dxa"/>
          </w:tcPr>
          <w:p w:rsidR="000409C7" w:rsidRPr="003732DE" w:rsidRDefault="000409C7" w:rsidP="003535BF">
            <w:pPr>
              <w:pStyle w:val="Prrafodelista"/>
              <w:spacing w:after="0" w:line="240" w:lineRule="auto"/>
              <w:ind w:left="47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/>
              </w:rPr>
              <w:t>Responsable: Implementar red de datos, telefonía y equipamiento de tecnologías en nueva biblioteca (puntos de red, red inalámbrica, telefonía) a marzo de 2012.  (Vinculada a indicador N°214)</w:t>
            </w:r>
          </w:p>
        </w:tc>
        <w:tc>
          <w:tcPr>
            <w:tcW w:w="6946" w:type="dxa"/>
          </w:tcPr>
          <w:p w:rsidR="000409C7" w:rsidRPr="003732DE" w:rsidRDefault="000409C7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D05FD3" w:rsidRPr="003732DE" w:rsidRDefault="00D05FD3" w:rsidP="00D05FD3">
      <w:pPr>
        <w:rPr>
          <w:rFonts w:asciiTheme="minorHAnsi" w:hAnsiTheme="minorHAnsi"/>
          <w:b/>
        </w:rPr>
      </w:pPr>
    </w:p>
    <w:p w:rsidR="00BE6EA0" w:rsidRPr="003732DE" w:rsidRDefault="00BE6EA0" w:rsidP="00D05FD3">
      <w:pPr>
        <w:rPr>
          <w:rFonts w:asciiTheme="minorHAnsi" w:hAnsiTheme="minorHAnsi"/>
          <w:b/>
        </w:rPr>
      </w:pPr>
    </w:p>
    <w:p w:rsidR="00BE6EA0" w:rsidRPr="003732DE" w:rsidRDefault="00BE6EA0" w:rsidP="00D05FD3">
      <w:pPr>
        <w:rPr>
          <w:rFonts w:asciiTheme="minorHAnsi" w:hAnsiTheme="minorHAnsi"/>
          <w:b/>
        </w:rPr>
      </w:pPr>
    </w:p>
    <w:p w:rsidR="00D05FD3" w:rsidRDefault="00D05FD3" w:rsidP="00113473">
      <w:pPr>
        <w:rPr>
          <w:rFonts w:asciiTheme="minorHAnsi" w:hAnsiTheme="minorHAnsi"/>
          <w:b/>
        </w:rPr>
      </w:pPr>
    </w:p>
    <w:p w:rsidR="008330D0" w:rsidRDefault="008330D0" w:rsidP="008330D0">
      <w:pPr>
        <w:spacing w:after="0"/>
        <w:rPr>
          <w:rFonts w:asciiTheme="minorHAnsi" w:hAnsiTheme="minorHAnsi"/>
          <w:b/>
          <w:lang w:val="es-CL"/>
        </w:rPr>
      </w:pPr>
    </w:p>
    <w:p w:rsidR="004F131E" w:rsidRDefault="004F131E">
      <w:pPr>
        <w:spacing w:after="0" w:line="240" w:lineRule="auto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br w:type="page"/>
      </w:r>
    </w:p>
    <w:p w:rsidR="008330D0" w:rsidRDefault="008330D0" w:rsidP="008330D0">
      <w:pPr>
        <w:spacing w:after="0"/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  <w:lang w:val="es-CL"/>
        </w:rPr>
        <w:lastRenderedPageBreak/>
        <w:t>TABLA N°4: ASPECTOS A MEJORAR EMANADOS DE LAS UNIDADES</w:t>
      </w:r>
      <w:r>
        <w:rPr>
          <w:rFonts w:asciiTheme="minorHAnsi" w:hAnsiTheme="minorHAnsi"/>
          <w:b/>
          <w:lang w:val="es-CL"/>
        </w:rPr>
        <w:t xml:space="preserve"> QUE DEPENDEN DE LA VICERRECTORÍA</w:t>
      </w:r>
    </w:p>
    <w:p w:rsidR="008330D0" w:rsidRDefault="008330D0" w:rsidP="008330D0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566A99">
        <w:rPr>
          <w:rFonts w:asciiTheme="minorHAnsi" w:hAnsiTheme="minorHAnsi"/>
        </w:rPr>
        <w:t xml:space="preserve">Estos deben ser aspectos transversales que las unidades no pueden resolver por sí solas y corresponde a la vicerrectoría su ejecución.  </w:t>
      </w:r>
    </w:p>
    <w:p w:rsidR="00B10800" w:rsidRPr="003732DE" w:rsidRDefault="008330D0" w:rsidP="008330D0">
      <w:pPr>
        <w:rPr>
          <w:rFonts w:asciiTheme="minorHAnsi" w:hAnsiTheme="minorHAnsi"/>
        </w:rPr>
      </w:pPr>
      <w:r w:rsidRPr="00566A99">
        <w:rPr>
          <w:rFonts w:asciiTheme="minorHAnsi" w:hAnsiTheme="minorHAnsi"/>
          <w:color w:val="000000" w:themeColor="text1"/>
          <w:lang w:val="es-CL"/>
        </w:rPr>
        <w:t xml:space="preserve">*Estos </w:t>
      </w:r>
      <w:r>
        <w:rPr>
          <w:rFonts w:asciiTheme="minorHAnsi" w:hAnsiTheme="minorHAnsi"/>
          <w:color w:val="000000" w:themeColor="text1"/>
          <w:lang w:val="es-CL"/>
        </w:rPr>
        <w:t>aspectos a mejorar de</w:t>
      </w:r>
      <w:r w:rsidRPr="00566A99">
        <w:rPr>
          <w:rFonts w:asciiTheme="minorHAnsi" w:hAnsiTheme="minorHAnsi"/>
          <w:color w:val="000000" w:themeColor="text1"/>
          <w:lang w:val="es-CL"/>
        </w:rPr>
        <w:t>ben estar enumerados en las debilidades del FODA para que pasen a ser parte de su plan de trabajo 2013.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96"/>
        <w:gridCol w:w="6804"/>
      </w:tblGrid>
      <w:tr w:rsidR="008330D0" w:rsidRPr="003732DE" w:rsidTr="008330D0">
        <w:tc>
          <w:tcPr>
            <w:tcW w:w="7196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  <w:r w:rsidRPr="003732DE">
              <w:rPr>
                <w:rFonts w:asciiTheme="minorHAnsi" w:hAnsiTheme="minorHAnsi"/>
                <w:b/>
              </w:rPr>
              <w:t xml:space="preserve">Aspectos   a mejorar </w:t>
            </w:r>
          </w:p>
        </w:tc>
        <w:tc>
          <w:tcPr>
            <w:tcW w:w="6804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  <w:r w:rsidRPr="003732DE">
              <w:rPr>
                <w:rFonts w:asciiTheme="minorHAnsi" w:hAnsiTheme="minorHAnsi"/>
                <w:b/>
              </w:rPr>
              <w:t xml:space="preserve">Unidades   involucradas  </w:t>
            </w:r>
          </w:p>
        </w:tc>
      </w:tr>
      <w:tr w:rsidR="008330D0" w:rsidRPr="003732DE" w:rsidTr="008330D0">
        <w:trPr>
          <w:trHeight w:val="482"/>
        </w:trPr>
        <w:tc>
          <w:tcPr>
            <w:tcW w:w="7196" w:type="dxa"/>
            <w:tcBorders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532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412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462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370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549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572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424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  <w:tr w:rsidR="008330D0" w:rsidRPr="003732DE" w:rsidTr="008330D0">
        <w:trPr>
          <w:trHeight w:val="460"/>
        </w:trPr>
        <w:tc>
          <w:tcPr>
            <w:tcW w:w="7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D0" w:rsidRPr="003732DE" w:rsidRDefault="008330D0" w:rsidP="005C7DD8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0D0" w:rsidRPr="003732DE" w:rsidRDefault="008330D0" w:rsidP="00802500">
            <w:pPr>
              <w:rPr>
                <w:rFonts w:asciiTheme="minorHAnsi" w:hAnsiTheme="minorHAnsi"/>
                <w:b/>
              </w:rPr>
            </w:pPr>
          </w:p>
        </w:tc>
      </w:tr>
    </w:tbl>
    <w:p w:rsidR="006E0060" w:rsidRPr="003732DE" w:rsidRDefault="006E0060" w:rsidP="006E0060">
      <w:pPr>
        <w:rPr>
          <w:rFonts w:asciiTheme="minorHAnsi" w:hAnsiTheme="minorHAnsi"/>
          <w:b/>
        </w:rPr>
      </w:pPr>
      <w:r w:rsidRPr="003732DE">
        <w:rPr>
          <w:rFonts w:asciiTheme="minorHAnsi" w:hAnsiTheme="minorHAnsi"/>
          <w:b/>
        </w:rPr>
        <w:t xml:space="preserve">*Agregue las filas que le sean necesarias </w:t>
      </w:r>
    </w:p>
    <w:p w:rsidR="00B10800" w:rsidRPr="003732DE" w:rsidRDefault="00B10800" w:rsidP="00B10800">
      <w:pPr>
        <w:rPr>
          <w:rFonts w:asciiTheme="minorHAnsi" w:hAnsiTheme="minorHAnsi"/>
          <w:b/>
        </w:rPr>
      </w:pPr>
    </w:p>
    <w:p w:rsidR="00BE6EA0" w:rsidRDefault="00BE6EA0" w:rsidP="00B10800">
      <w:pPr>
        <w:rPr>
          <w:rFonts w:asciiTheme="minorHAnsi" w:hAnsiTheme="minorHAnsi"/>
          <w:b/>
        </w:rPr>
      </w:pPr>
    </w:p>
    <w:p w:rsidR="003732DE" w:rsidRDefault="003732DE" w:rsidP="00B10800">
      <w:pPr>
        <w:rPr>
          <w:rFonts w:asciiTheme="minorHAnsi" w:hAnsiTheme="minorHAnsi"/>
          <w:b/>
        </w:rPr>
      </w:pPr>
    </w:p>
    <w:p w:rsidR="003732DE" w:rsidRDefault="003732DE" w:rsidP="00B10800">
      <w:pPr>
        <w:rPr>
          <w:rFonts w:asciiTheme="minorHAnsi" w:hAnsiTheme="minorHAnsi"/>
          <w:b/>
        </w:rPr>
      </w:pPr>
    </w:p>
    <w:p w:rsidR="008330D0" w:rsidRDefault="008330D0" w:rsidP="008330D0">
      <w:pPr>
        <w:spacing w:after="0"/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lastRenderedPageBreak/>
        <w:t xml:space="preserve">TABLA N°5: </w:t>
      </w:r>
      <w:r>
        <w:rPr>
          <w:rFonts w:asciiTheme="minorHAnsi" w:hAnsiTheme="minorHAnsi"/>
          <w:b/>
        </w:rPr>
        <w:t>RECOMENDACIONES INFORME DE LA AGENCIA ADVENTISTA DE ACREDITACIÓN (AAA), ACREDITACIÓN 2012.</w:t>
      </w:r>
    </w:p>
    <w:p w:rsidR="008330D0" w:rsidRDefault="008330D0" w:rsidP="008330D0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3732DE" w:rsidRDefault="008330D0" w:rsidP="008330D0">
      <w:pPr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74"/>
        <w:gridCol w:w="3178"/>
        <w:gridCol w:w="1960"/>
        <w:gridCol w:w="1526"/>
        <w:gridCol w:w="2299"/>
        <w:gridCol w:w="1862"/>
      </w:tblGrid>
      <w:tr w:rsidR="008330D0" w:rsidRPr="00D46C55" w:rsidTr="00A15104">
        <w:tc>
          <w:tcPr>
            <w:tcW w:w="1134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Criterio</w:t>
            </w:r>
          </w:p>
        </w:tc>
        <w:tc>
          <w:tcPr>
            <w:tcW w:w="1135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Recomendación /Meta</w:t>
            </w:r>
          </w:p>
        </w:tc>
        <w:tc>
          <w:tcPr>
            <w:tcW w:w="700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Indicadores</w:t>
            </w:r>
          </w:p>
        </w:tc>
        <w:tc>
          <w:tcPr>
            <w:tcW w:w="545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 xml:space="preserve">Plazo </w:t>
            </w:r>
          </w:p>
        </w:tc>
        <w:tc>
          <w:tcPr>
            <w:tcW w:w="821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666" w:type="pct"/>
            <w:shd w:val="clear" w:color="auto" w:fill="8DB3E2" w:themeFill="text2" w:themeFillTint="66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Nivel de logro (L, ML, NL)</w:t>
            </w:r>
          </w:p>
        </w:tc>
      </w:tr>
      <w:tr w:rsidR="008330D0" w:rsidRPr="00D46C55" w:rsidTr="00A15104">
        <w:tc>
          <w:tcPr>
            <w:tcW w:w="1134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t>Recomendaciones y metas generales y mayores</w:t>
            </w:r>
          </w:p>
        </w:tc>
        <w:tc>
          <w:tcPr>
            <w:tcW w:w="113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00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0D0" w:rsidRPr="00D46C55" w:rsidTr="00A15104">
        <w:tc>
          <w:tcPr>
            <w:tcW w:w="1134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00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0D0" w:rsidRPr="00D46C55" w:rsidTr="00A15104">
        <w:tc>
          <w:tcPr>
            <w:tcW w:w="1134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00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0D0" w:rsidRPr="00D46C55" w:rsidTr="00A15104">
        <w:tc>
          <w:tcPr>
            <w:tcW w:w="1134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00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shd w:val="clear" w:color="auto" w:fill="auto"/>
          </w:tcPr>
          <w:p w:rsidR="008330D0" w:rsidRPr="00D46C55" w:rsidRDefault="008330D0" w:rsidP="00A15104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330D0" w:rsidRPr="003732DE" w:rsidRDefault="008330D0" w:rsidP="008330D0">
      <w:pPr>
        <w:rPr>
          <w:rFonts w:asciiTheme="minorHAnsi" w:hAnsiTheme="minorHAnsi"/>
          <w:b/>
        </w:rPr>
      </w:pPr>
    </w:p>
    <w:p w:rsidR="000E341C" w:rsidRDefault="000E341C" w:rsidP="00B71B55">
      <w:pPr>
        <w:rPr>
          <w:rFonts w:asciiTheme="minorHAnsi" w:hAnsiTheme="minorHAnsi"/>
          <w:b/>
        </w:rPr>
      </w:pPr>
    </w:p>
    <w:p w:rsidR="008330D0" w:rsidRDefault="008330D0" w:rsidP="00B71B55">
      <w:pPr>
        <w:rPr>
          <w:rFonts w:asciiTheme="minorHAnsi" w:hAnsiTheme="minorHAnsi"/>
          <w:b/>
        </w:rPr>
      </w:pPr>
    </w:p>
    <w:p w:rsidR="008330D0" w:rsidRDefault="008330D0" w:rsidP="00B71B55">
      <w:pPr>
        <w:rPr>
          <w:rFonts w:asciiTheme="minorHAnsi" w:hAnsiTheme="minorHAnsi"/>
          <w:b/>
        </w:rPr>
      </w:pPr>
    </w:p>
    <w:p w:rsidR="008330D0" w:rsidRDefault="008330D0" w:rsidP="00B71B55">
      <w:pPr>
        <w:rPr>
          <w:rFonts w:asciiTheme="minorHAnsi" w:hAnsiTheme="minorHAnsi"/>
          <w:b/>
        </w:rPr>
      </w:pPr>
    </w:p>
    <w:p w:rsidR="008330D0" w:rsidRDefault="008330D0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4F131E" w:rsidRDefault="004F131E" w:rsidP="004F131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F131E" w:rsidRDefault="004F131E" w:rsidP="004F131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72D3B" w:rsidRPr="00290833" w:rsidRDefault="00572D3B" w:rsidP="004F131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72D3B" w:rsidRPr="00325751" w:rsidRDefault="00572D3B" w:rsidP="004F131E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325751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72D3B" w:rsidRPr="00290833" w:rsidRDefault="00C56565" w:rsidP="00572D3B">
      <w:pPr>
        <w:rPr>
          <w:rFonts w:asciiTheme="minorHAnsi" w:hAnsiTheme="minorHAnsi"/>
          <w:b/>
          <w:lang w:val="es-CL"/>
        </w:rPr>
      </w:pPr>
      <w:r w:rsidRPr="00C56565">
        <w:rPr>
          <w:noProof/>
        </w:rPr>
        <w:pict>
          <v:roundrect id="_x0000_s1027" style="position:absolute;margin-left:250.4pt;margin-top:17.1pt;width:199pt;height:168.9pt;z-index:251664384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4" o:title="" recolor="t" rotate="t" type="frame"/>
          </v:roundrect>
        </w:pict>
      </w:r>
    </w:p>
    <w:p w:rsidR="00572D3B" w:rsidRDefault="00572D3B" w:rsidP="00572D3B">
      <w:pPr>
        <w:rPr>
          <w:rFonts w:asciiTheme="minorHAnsi" w:hAnsiTheme="minorHAnsi"/>
          <w:b/>
        </w:rPr>
      </w:pPr>
    </w:p>
    <w:p w:rsidR="00572D3B" w:rsidRDefault="00572D3B" w:rsidP="00572D3B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B71B55">
      <w:pPr>
        <w:rPr>
          <w:rFonts w:asciiTheme="minorHAnsi" w:hAnsiTheme="minorHAnsi"/>
          <w:b/>
        </w:rPr>
      </w:pPr>
    </w:p>
    <w:p w:rsidR="00572D3B" w:rsidRDefault="00572D3B" w:rsidP="00572D3B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TABLA N°6</w:t>
      </w:r>
      <w:r w:rsidRPr="004515D8">
        <w:rPr>
          <w:rFonts w:asciiTheme="minorHAnsi" w:hAnsiTheme="minorHAnsi"/>
          <w:b/>
        </w:rPr>
        <w:t xml:space="preserve">: ANÁLISIS FODA </w:t>
      </w:r>
    </w:p>
    <w:p w:rsidR="00B10800" w:rsidRPr="003732DE" w:rsidRDefault="00572D3B" w:rsidP="00572D3B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cinco 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7229"/>
      </w:tblGrid>
      <w:tr w:rsidR="00572D3B" w:rsidRPr="00784EC5" w:rsidTr="002C60F8">
        <w:tc>
          <w:tcPr>
            <w:tcW w:w="14000" w:type="dxa"/>
            <w:gridSpan w:val="2"/>
            <w:shd w:val="clear" w:color="auto" w:fill="8DB3E2" w:themeFill="text2" w:themeFillTint="66"/>
          </w:tcPr>
          <w:p w:rsidR="00572D3B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72D3B" w:rsidRPr="00784EC5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72D3B" w:rsidRPr="00B635AC" w:rsidTr="002C60F8">
        <w:tc>
          <w:tcPr>
            <w:tcW w:w="6771" w:type="dxa"/>
            <w:shd w:val="clear" w:color="auto" w:fill="8DB3E2" w:themeFill="text2" w:themeFillTint="66"/>
          </w:tcPr>
          <w:p w:rsidR="00572D3B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72D3B" w:rsidRPr="00177D40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7229" w:type="dxa"/>
            <w:shd w:val="clear" w:color="auto" w:fill="8DB3E2" w:themeFill="text2" w:themeFillTint="66"/>
          </w:tcPr>
          <w:p w:rsidR="00572D3B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72D3B" w:rsidRPr="00B635AC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572D3B" w:rsidRPr="003732DE" w:rsidTr="00572D3B">
        <w:trPr>
          <w:trHeight w:val="387"/>
        </w:trPr>
        <w:tc>
          <w:tcPr>
            <w:tcW w:w="6771" w:type="dxa"/>
            <w:vMerge w:val="restart"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Pr="00E16C3E" w:rsidRDefault="00572D3B" w:rsidP="002C60F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debilidades identificadas en la tabla N°1: DESAFIOS PROPIOS DE LA UNIDAD (DPU).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572D3B" w:rsidRPr="004515D8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572D3B" w:rsidRPr="003732DE" w:rsidTr="00947284">
        <w:trPr>
          <w:trHeight w:val="387"/>
        </w:trPr>
        <w:tc>
          <w:tcPr>
            <w:tcW w:w="6771" w:type="dxa"/>
            <w:vMerge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Pr="00E16C3E" w:rsidRDefault="00572D3B" w:rsidP="002C60F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N°2: PLANES DE MEJORA INFORME AUTOEVALUACIÓN INSTITUCIONAL 2011 (PIA).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572D3B" w:rsidRPr="003732DE" w:rsidTr="00947284">
        <w:trPr>
          <w:trHeight w:val="387"/>
        </w:trPr>
        <w:tc>
          <w:tcPr>
            <w:tcW w:w="6771" w:type="dxa"/>
            <w:vMerge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N°3: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572D3B" w:rsidRPr="00E16C3E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572D3B" w:rsidRPr="003732DE" w:rsidTr="00947284">
        <w:trPr>
          <w:trHeight w:val="387"/>
        </w:trPr>
        <w:tc>
          <w:tcPr>
            <w:tcW w:w="6771" w:type="dxa"/>
            <w:vMerge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N°4: ASPECTOS A MEJORAR EMANADOS DE LAS UNIDADES QUE DEPENDEN DE LA VICERRECTORÍA (AMU)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572D3B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572D3B" w:rsidRPr="00E16C3E" w:rsidRDefault="00572D3B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572D3B" w:rsidRPr="003732DE" w:rsidTr="00947284">
        <w:trPr>
          <w:trHeight w:val="387"/>
        </w:trPr>
        <w:tc>
          <w:tcPr>
            <w:tcW w:w="6771" w:type="dxa"/>
            <w:vMerge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Default="00572D3B" w:rsidP="00572D3B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N°5: RECOMENDACIONES AGENCIA ADVENTISTA DE ACREDITACIÓN (AAA).</w:t>
            </w:r>
          </w:p>
          <w:p w:rsidR="00572D3B" w:rsidRDefault="00572D3B" w:rsidP="00572D3B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572D3B" w:rsidRDefault="00572D3B" w:rsidP="00572D3B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572D3B" w:rsidRPr="003732DE" w:rsidRDefault="00572D3B" w:rsidP="00572D3B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572D3B" w:rsidRPr="003732DE" w:rsidTr="00500B14">
        <w:tc>
          <w:tcPr>
            <w:tcW w:w="14000" w:type="dxa"/>
            <w:gridSpan w:val="2"/>
            <w:shd w:val="clear" w:color="auto" w:fill="8DB3E2" w:themeFill="text2" w:themeFillTint="66"/>
          </w:tcPr>
          <w:p w:rsidR="00572D3B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72D3B" w:rsidRPr="00784EC5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72D3B" w:rsidRPr="003732DE" w:rsidTr="00E15A5F">
        <w:tc>
          <w:tcPr>
            <w:tcW w:w="6771" w:type="dxa"/>
            <w:shd w:val="clear" w:color="auto" w:fill="8DB3E2" w:themeFill="text2" w:themeFillTint="66"/>
          </w:tcPr>
          <w:p w:rsidR="00572D3B" w:rsidRPr="00784EC5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AMENAZAS</w:t>
            </w:r>
          </w:p>
        </w:tc>
        <w:tc>
          <w:tcPr>
            <w:tcW w:w="7229" w:type="dxa"/>
            <w:shd w:val="clear" w:color="auto" w:fill="8DB3E2" w:themeFill="text2" w:themeFillTint="66"/>
          </w:tcPr>
          <w:p w:rsidR="00572D3B" w:rsidRPr="00784EC5" w:rsidRDefault="00572D3B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OPORTUNIDADES</w:t>
            </w:r>
          </w:p>
        </w:tc>
      </w:tr>
      <w:tr w:rsidR="00572D3B" w:rsidRPr="003732DE" w:rsidTr="00947284">
        <w:tc>
          <w:tcPr>
            <w:tcW w:w="6771" w:type="dxa"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72D3B" w:rsidRPr="003732DE" w:rsidRDefault="00572D3B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FA7869" w:rsidRPr="003732DE" w:rsidRDefault="00FA7869" w:rsidP="00B10800">
      <w:pPr>
        <w:rPr>
          <w:rFonts w:asciiTheme="minorHAnsi" w:hAnsiTheme="minorHAnsi"/>
          <w:b/>
        </w:rPr>
        <w:sectPr w:rsidR="00FA7869" w:rsidRPr="003732DE" w:rsidSect="004E36E7">
          <w:headerReference w:type="default" r:id="rId15"/>
          <w:footerReference w:type="default" r:id="rId16"/>
          <w:pgSz w:w="16838" w:h="11906" w:orient="landscape"/>
          <w:pgMar w:top="998" w:right="1276" w:bottom="1701" w:left="1417" w:header="284" w:footer="708" w:gutter="0"/>
          <w:cols w:space="708"/>
          <w:docGrid w:linePitch="360"/>
        </w:sectPr>
      </w:pPr>
    </w:p>
    <w:p w:rsidR="00411101" w:rsidRPr="004515D8" w:rsidRDefault="00411101" w:rsidP="00411101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TABLA N°7</w:t>
      </w:r>
      <w:r w:rsidRPr="004515D8">
        <w:rPr>
          <w:rFonts w:asciiTheme="minorHAnsi" w:hAnsiTheme="minorHAnsi"/>
          <w:b/>
        </w:rPr>
        <w:t xml:space="preserve">: </w:t>
      </w:r>
      <w:r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>, DE LA VICERRECTORÍA ADMINISTRATIVA</w:t>
      </w:r>
    </w:p>
    <w:p w:rsidR="00411101" w:rsidRDefault="00411101" w:rsidP="00411101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Vicerrecto</w:t>
      </w:r>
      <w:r>
        <w:rPr>
          <w:rFonts w:asciiTheme="minorHAnsi" w:hAnsiTheme="minorHAnsi"/>
        </w:rPr>
        <w:t>ría Administrativa para el año 2013</w:t>
      </w:r>
      <w:r w:rsidRPr="004515D8">
        <w:rPr>
          <w:rFonts w:asciiTheme="minorHAnsi" w:hAnsiTheme="minorHAnsi"/>
        </w:rPr>
        <w:t>.</w:t>
      </w:r>
    </w:p>
    <w:p w:rsidR="00411101" w:rsidRDefault="00411101" w:rsidP="00411101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B10800" w:rsidRDefault="00411101" w:rsidP="004F131E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p w:rsidR="004F131E" w:rsidRPr="003732DE" w:rsidRDefault="004F131E" w:rsidP="00411101">
      <w:pPr>
        <w:rPr>
          <w:rFonts w:asciiTheme="minorHAnsi" w:hAnsiTheme="minorHAnsi"/>
        </w:rPr>
      </w:pP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1984"/>
        <w:gridCol w:w="3119"/>
      </w:tblGrid>
      <w:tr w:rsidR="00411101" w:rsidRPr="00784EC5" w:rsidTr="002C60F8">
        <w:tc>
          <w:tcPr>
            <w:tcW w:w="23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411101" w:rsidRPr="00784EC5" w:rsidTr="002C60F8">
        <w:tc>
          <w:tcPr>
            <w:tcW w:w="14000" w:type="dxa"/>
            <w:gridSpan w:val="7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411101" w:rsidRPr="00784EC5" w:rsidTr="002C60F8">
        <w:tc>
          <w:tcPr>
            <w:tcW w:w="14000" w:type="dxa"/>
            <w:gridSpan w:val="7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411101" w:rsidRPr="00784EC5" w:rsidTr="002C60F8">
        <w:tc>
          <w:tcPr>
            <w:tcW w:w="23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4-…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411101" w:rsidRPr="00784EC5" w:rsidTr="002C60F8">
        <w:tc>
          <w:tcPr>
            <w:tcW w:w="14000" w:type="dxa"/>
            <w:gridSpan w:val="7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411101" w:rsidRPr="00784EC5" w:rsidTr="002C60F8">
        <w:tc>
          <w:tcPr>
            <w:tcW w:w="14000" w:type="dxa"/>
            <w:gridSpan w:val="7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la unidades que dependen de la vicerrectoría (AMU)</w:t>
            </w: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411101" w:rsidRPr="00784EC5" w:rsidRDefault="00411101" w:rsidP="002C60F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411101" w:rsidRPr="00784EC5" w:rsidTr="002C60F8">
        <w:tc>
          <w:tcPr>
            <w:tcW w:w="14000" w:type="dxa"/>
            <w:gridSpan w:val="7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411101" w:rsidRPr="00784EC5" w:rsidTr="002C60F8">
        <w:tc>
          <w:tcPr>
            <w:tcW w:w="2376" w:type="dxa"/>
          </w:tcPr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411101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411101" w:rsidRPr="00784EC5" w:rsidRDefault="00411101" w:rsidP="002C6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B10800" w:rsidRPr="003732DE" w:rsidRDefault="00B947AD" w:rsidP="00B10800">
      <w:pPr>
        <w:rPr>
          <w:rFonts w:asciiTheme="minorHAnsi" w:hAnsiTheme="minorHAnsi"/>
        </w:rPr>
      </w:pPr>
      <w:r w:rsidRPr="003732DE">
        <w:rPr>
          <w:rFonts w:asciiTheme="minorHAnsi" w:hAnsiTheme="minorHAnsi"/>
          <w:b/>
        </w:rPr>
        <w:t>*Agregue las filas que le sean necesarias</w:t>
      </w:r>
    </w:p>
    <w:p w:rsidR="00E15A5F" w:rsidRPr="003732DE" w:rsidRDefault="00E15A5F" w:rsidP="00E15A5F">
      <w:pPr>
        <w:rPr>
          <w:rFonts w:asciiTheme="minorHAnsi" w:hAnsiTheme="minorHAnsi"/>
          <w:lang w:val="es-CL"/>
        </w:rPr>
      </w:pPr>
    </w:p>
    <w:p w:rsidR="00E15A5F" w:rsidRDefault="00E15A5F" w:rsidP="00E15A5F">
      <w:pPr>
        <w:rPr>
          <w:rFonts w:asciiTheme="minorHAnsi" w:hAnsiTheme="minorHAnsi"/>
          <w:lang w:val="es-CL"/>
        </w:rPr>
      </w:pPr>
    </w:p>
    <w:p w:rsidR="00411101" w:rsidRDefault="00411101" w:rsidP="00E15A5F">
      <w:pPr>
        <w:rPr>
          <w:rFonts w:asciiTheme="minorHAnsi" w:hAnsiTheme="minorHAnsi"/>
          <w:lang w:val="es-CL"/>
        </w:rPr>
      </w:pPr>
    </w:p>
    <w:p w:rsidR="00411101" w:rsidRDefault="00411101" w:rsidP="00E15A5F">
      <w:pPr>
        <w:rPr>
          <w:rFonts w:asciiTheme="minorHAnsi" w:hAnsiTheme="minorHAnsi"/>
          <w:lang w:val="es-CL"/>
        </w:rPr>
      </w:pPr>
    </w:p>
    <w:p w:rsidR="00411101" w:rsidRDefault="00411101" w:rsidP="00E15A5F">
      <w:pPr>
        <w:rPr>
          <w:rFonts w:asciiTheme="minorHAnsi" w:hAnsiTheme="minorHAnsi"/>
          <w:lang w:val="es-CL"/>
        </w:rPr>
      </w:pPr>
    </w:p>
    <w:p w:rsidR="00411101" w:rsidRDefault="00411101" w:rsidP="00E15A5F">
      <w:pPr>
        <w:rPr>
          <w:rFonts w:asciiTheme="minorHAnsi" w:hAnsiTheme="minorHAnsi"/>
          <w:lang w:val="es-CL"/>
        </w:rPr>
      </w:pPr>
    </w:p>
    <w:p w:rsidR="00411101" w:rsidRDefault="00411101" w:rsidP="00411101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11101" w:rsidRDefault="00411101" w:rsidP="00411101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11101" w:rsidRDefault="00411101" w:rsidP="00411101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411101" w:rsidTr="002C60F8">
        <w:tc>
          <w:tcPr>
            <w:tcW w:w="2693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-Directores de carreras</w:t>
            </w:r>
          </w:p>
          <w:p w:rsidR="00411101" w:rsidRDefault="00411101" w:rsidP="002C60F8">
            <w:pPr>
              <w:spacing w:after="0"/>
            </w:pPr>
            <w:r>
              <w:t>-Directores de unidades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-Decanos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-Vicerrectores</w:t>
            </w:r>
          </w:p>
          <w:p w:rsidR="00411101" w:rsidRDefault="00411101" w:rsidP="002C60F8">
            <w:pPr>
              <w:spacing w:after="0"/>
            </w:pPr>
            <w:r>
              <w:t>-Secretaria General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-Directores de carreras</w:t>
            </w:r>
          </w:p>
          <w:p w:rsidR="00411101" w:rsidRDefault="00411101" w:rsidP="002C60F8">
            <w:pPr>
              <w:spacing w:after="0"/>
            </w:pPr>
            <w:r>
              <w:t>-Directores de unidades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-Decanos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-Vicerrectores</w:t>
            </w:r>
          </w:p>
          <w:p w:rsidR="00411101" w:rsidRDefault="00411101" w:rsidP="002C60F8">
            <w:pPr>
              <w:spacing w:after="0"/>
            </w:pPr>
            <w:r>
              <w:t>-Secretaria General</w:t>
            </w:r>
          </w:p>
        </w:tc>
      </w:tr>
      <w:tr w:rsidR="00411101" w:rsidTr="002C60F8">
        <w:tc>
          <w:tcPr>
            <w:tcW w:w="2693" w:type="dxa"/>
          </w:tcPr>
          <w:p w:rsidR="00411101" w:rsidRPr="00E14D5F" w:rsidRDefault="00411101" w:rsidP="002C60F8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411101" w:rsidRPr="00E14D5F" w:rsidRDefault="00411101" w:rsidP="002C60F8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411101" w:rsidRPr="00E14D5F" w:rsidRDefault="00411101" w:rsidP="002C60F8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411101" w:rsidRPr="00E14D5F" w:rsidRDefault="00411101" w:rsidP="002C60F8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411101" w:rsidRPr="00E14D5F" w:rsidRDefault="00411101" w:rsidP="002C60F8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-Directores de carreras</w:t>
            </w:r>
          </w:p>
          <w:p w:rsidR="00411101" w:rsidRDefault="00411101" w:rsidP="002C60F8">
            <w:pPr>
              <w:spacing w:after="0"/>
            </w:pPr>
            <w:r>
              <w:t>-Directores de unidades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-Decanos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-Vicerrectores</w:t>
            </w:r>
          </w:p>
          <w:p w:rsidR="00411101" w:rsidRDefault="00411101" w:rsidP="002C60F8">
            <w:pPr>
              <w:spacing w:after="0"/>
            </w:pPr>
            <w:r>
              <w:t>-Secretaria General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-Directores de carreras</w:t>
            </w:r>
          </w:p>
          <w:p w:rsidR="00411101" w:rsidRDefault="00411101" w:rsidP="002C60F8">
            <w:pPr>
              <w:spacing w:after="0"/>
            </w:pPr>
            <w:r>
              <w:t>-Directores de unidades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-Decanos</w:t>
            </w:r>
          </w:p>
        </w:tc>
      </w:tr>
      <w:tr w:rsidR="00411101" w:rsidTr="002C60F8">
        <w:tc>
          <w:tcPr>
            <w:tcW w:w="2693" w:type="dxa"/>
          </w:tcPr>
          <w:p w:rsidR="00411101" w:rsidRDefault="00411101" w:rsidP="002C60F8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411101" w:rsidRDefault="00411101" w:rsidP="002C60F8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411101" w:rsidRDefault="00411101" w:rsidP="002C60F8">
            <w:pPr>
              <w:spacing w:after="0"/>
            </w:pPr>
            <w:r>
              <w:t>-Vicerrectores</w:t>
            </w:r>
          </w:p>
          <w:p w:rsidR="00411101" w:rsidRDefault="00411101" w:rsidP="002C60F8">
            <w:pPr>
              <w:spacing w:after="0"/>
            </w:pPr>
            <w:r>
              <w:t>-Secretaria General</w:t>
            </w:r>
          </w:p>
        </w:tc>
      </w:tr>
      <w:tr w:rsidR="00411101" w:rsidTr="002C60F8">
        <w:tc>
          <w:tcPr>
            <w:tcW w:w="2693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411101" w:rsidRPr="00791A49" w:rsidRDefault="00411101" w:rsidP="002C60F8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EC03D4" w:rsidRPr="004515D8" w:rsidRDefault="00EC03D4" w:rsidP="00EC03D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lastRenderedPageBreak/>
        <w:t>TABLA N°8</w:t>
      </w:r>
      <w:r w:rsidRPr="004515D8">
        <w:rPr>
          <w:rFonts w:asciiTheme="minorHAnsi" w:hAnsiTheme="minorHAnsi"/>
          <w:b/>
          <w:lang w:val="es-CL"/>
        </w:rPr>
        <w:t xml:space="preserve">: </w:t>
      </w:r>
      <w:r>
        <w:rPr>
          <w:rFonts w:asciiTheme="minorHAnsi" w:hAnsiTheme="minorHAnsi"/>
          <w:b/>
        </w:rPr>
        <w:t>SEGUIMIENTO PLAN DE TRABAJOAÑO 2013</w:t>
      </w:r>
    </w:p>
    <w:p w:rsidR="00EC03D4" w:rsidRDefault="00EC03D4" w:rsidP="00EC03D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EC03D4" w:rsidRDefault="00EC03D4" w:rsidP="00EC03D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EC03D4" w:rsidRPr="004515D8" w:rsidRDefault="00EC03D4" w:rsidP="00EC03D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EC03D4" w:rsidRDefault="00EC03D4" w:rsidP="00EC03D4">
      <w:pPr>
        <w:spacing w:after="0"/>
        <w:rPr>
          <w:rFonts w:asciiTheme="minorHAnsi" w:hAnsiTheme="minorHAnsi"/>
          <w:b/>
        </w:rPr>
      </w:pPr>
    </w:p>
    <w:p w:rsidR="00EC03D4" w:rsidRDefault="00EC03D4" w:rsidP="00EC03D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411101" w:rsidRDefault="00EC03D4" w:rsidP="00EC03D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Enero-Marzo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0D216D" w:rsidRPr="004515D8" w:rsidTr="002C60F8">
        <w:tc>
          <w:tcPr>
            <w:tcW w:w="1843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0D216D" w:rsidRPr="00784EC5" w:rsidRDefault="000D216D" w:rsidP="000D216D">
      <w:pPr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t>*Agregue las filas que le sean necesarias</w:t>
      </w: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2º Trimestre </w:t>
      </w: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0D216D" w:rsidRPr="004515D8" w:rsidTr="002C60F8">
        <w:tc>
          <w:tcPr>
            <w:tcW w:w="1843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0D216D" w:rsidRPr="00784EC5" w:rsidRDefault="000D216D" w:rsidP="000D216D">
      <w:pPr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t>*Agregue las filas que le sean necesarias</w:t>
      </w: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3º Trimestre </w:t>
      </w: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0D216D" w:rsidRPr="004515D8" w:rsidTr="002C60F8">
        <w:tc>
          <w:tcPr>
            <w:tcW w:w="1843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0D216D" w:rsidRPr="004515D8" w:rsidRDefault="000D216D" w:rsidP="000D216D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Pr="00784EC5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4º Trimestre</w:t>
      </w:r>
    </w:p>
    <w:p w:rsidR="000D216D" w:rsidRDefault="000D216D" w:rsidP="000D216D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0D216D" w:rsidRPr="004515D8" w:rsidTr="002C60F8">
        <w:tc>
          <w:tcPr>
            <w:tcW w:w="1843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0D216D" w:rsidRPr="004515D8" w:rsidRDefault="000D216D" w:rsidP="002C60F8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0D216D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0D216D" w:rsidRPr="004515D8" w:rsidTr="002C60F8">
        <w:tc>
          <w:tcPr>
            <w:tcW w:w="1843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0D216D" w:rsidRPr="004515D8" w:rsidRDefault="000D216D" w:rsidP="002C60F8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0D216D" w:rsidRDefault="000D216D" w:rsidP="000D216D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rPr>
          <w:rFonts w:asciiTheme="minorHAnsi" w:hAnsiTheme="minorHAnsi"/>
          <w:b/>
        </w:rPr>
      </w:pPr>
    </w:p>
    <w:p w:rsidR="004F131E" w:rsidRDefault="004F131E" w:rsidP="000D216D">
      <w:pPr>
        <w:rPr>
          <w:rFonts w:asciiTheme="minorHAnsi" w:hAnsiTheme="minorHAnsi"/>
          <w:b/>
        </w:rPr>
      </w:pPr>
    </w:p>
    <w:p w:rsidR="000D216D" w:rsidRDefault="000D216D" w:rsidP="000D216D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5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3"/>
        <w:gridCol w:w="222"/>
        <w:gridCol w:w="222"/>
        <w:gridCol w:w="222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 w:rsidR="000D216D" w:rsidRPr="00727ED9" w:rsidTr="002C60F8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4F131E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4F131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4F131E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4F131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4F131E" w:rsidRPr="00727ED9" w:rsidTr="002C60F8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0D216D" w:rsidRPr="00727ED9" w:rsidTr="002C60F8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16D" w:rsidRPr="00727ED9" w:rsidRDefault="000D216D" w:rsidP="002C60F8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E15A5F" w:rsidRPr="003732DE" w:rsidRDefault="00E15A5F" w:rsidP="000D216D">
      <w:pPr>
        <w:rPr>
          <w:rFonts w:asciiTheme="minorHAnsi" w:hAnsiTheme="minorHAnsi"/>
          <w:b/>
        </w:rPr>
      </w:pPr>
    </w:p>
    <w:sectPr w:rsidR="00E15A5F" w:rsidRPr="003732DE" w:rsidSect="00411101">
      <w:pgSz w:w="16838" w:h="11906" w:orient="landscape"/>
      <w:pgMar w:top="1276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A7" w:rsidRDefault="00124DA7" w:rsidP="005E5AD0">
      <w:pPr>
        <w:spacing w:after="0" w:line="240" w:lineRule="auto"/>
      </w:pPr>
      <w:r>
        <w:separator/>
      </w:r>
    </w:p>
  </w:endnote>
  <w:endnote w:type="continuationSeparator" w:id="1">
    <w:p w:rsidR="00124DA7" w:rsidRDefault="00124DA7" w:rsidP="005E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0957"/>
      <w:docPartObj>
        <w:docPartGallery w:val="Page Numbers (Bottom of Page)"/>
        <w:docPartUnique/>
      </w:docPartObj>
    </w:sdtPr>
    <w:sdtContent>
      <w:p w:rsidR="002236E9" w:rsidRDefault="00C56565">
        <w:pPr>
          <w:pStyle w:val="Piedepgina"/>
          <w:jc w:val="right"/>
        </w:pPr>
        <w:r>
          <w:fldChar w:fldCharType="begin"/>
        </w:r>
        <w:r w:rsidR="00ED7EDB">
          <w:instrText xml:space="preserve"> PAGE   \* MERGEFORMAT </w:instrText>
        </w:r>
        <w:r>
          <w:fldChar w:fldCharType="separate"/>
        </w:r>
        <w:r w:rsidR="004F131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236E9" w:rsidRDefault="002236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A7" w:rsidRDefault="00124DA7" w:rsidP="005E5AD0">
      <w:pPr>
        <w:spacing w:after="0" w:line="240" w:lineRule="auto"/>
      </w:pPr>
      <w:r>
        <w:separator/>
      </w:r>
    </w:p>
  </w:footnote>
  <w:footnote w:type="continuationSeparator" w:id="1">
    <w:p w:rsidR="00124DA7" w:rsidRDefault="00124DA7" w:rsidP="005E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C80" w:rsidRPr="00571BD6" w:rsidRDefault="00452C80" w:rsidP="00452C80">
    <w:pPr>
      <w:pStyle w:val="Encabezado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-536001</wp:posOffset>
          </wp:positionH>
          <wp:positionV relativeFrom="paragraph">
            <wp:posOffset>-32856</wp:posOffset>
          </wp:positionV>
          <wp:extent cx="363793" cy="501445"/>
          <wp:effectExtent l="19050" t="0" r="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793" cy="501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452C80" w:rsidRDefault="00452C80" w:rsidP="00452C80">
    <w:pPr>
      <w:pStyle w:val="Encabezado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  <w:p w:rsidR="002236E9" w:rsidRPr="00452C80" w:rsidRDefault="002236E9" w:rsidP="00452C8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58A"/>
    <w:multiLevelType w:val="hybridMultilevel"/>
    <w:tmpl w:val="436291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B7561"/>
    <w:multiLevelType w:val="hybridMultilevel"/>
    <w:tmpl w:val="C9DCACE2"/>
    <w:lvl w:ilvl="0" w:tplc="6662286C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DE9"/>
    <w:multiLevelType w:val="hybridMultilevel"/>
    <w:tmpl w:val="CB167F1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38CF"/>
    <w:multiLevelType w:val="hybridMultilevel"/>
    <w:tmpl w:val="8BF25420"/>
    <w:lvl w:ilvl="0" w:tplc="F7AE80DA">
      <w:start w:val="2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036D2A"/>
    <w:multiLevelType w:val="hybridMultilevel"/>
    <w:tmpl w:val="49128B8E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5748E5"/>
    <w:multiLevelType w:val="hybridMultilevel"/>
    <w:tmpl w:val="E18C33AC"/>
    <w:lvl w:ilvl="0" w:tplc="436A8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A1877"/>
    <w:multiLevelType w:val="hybridMultilevel"/>
    <w:tmpl w:val="1FD22B3C"/>
    <w:lvl w:ilvl="0" w:tplc="340A0013">
      <w:start w:val="1"/>
      <w:numFmt w:val="upperRoman"/>
      <w:lvlText w:val="%1."/>
      <w:lvlJc w:val="right"/>
      <w:pPr>
        <w:ind w:left="761" w:hanging="360"/>
      </w:pPr>
    </w:lvl>
    <w:lvl w:ilvl="1" w:tplc="340A0019" w:tentative="1">
      <w:start w:val="1"/>
      <w:numFmt w:val="lowerLetter"/>
      <w:lvlText w:val="%2."/>
      <w:lvlJc w:val="left"/>
      <w:pPr>
        <w:ind w:left="1481" w:hanging="360"/>
      </w:pPr>
    </w:lvl>
    <w:lvl w:ilvl="2" w:tplc="340A001B" w:tentative="1">
      <w:start w:val="1"/>
      <w:numFmt w:val="lowerRoman"/>
      <w:lvlText w:val="%3."/>
      <w:lvlJc w:val="right"/>
      <w:pPr>
        <w:ind w:left="2201" w:hanging="180"/>
      </w:pPr>
    </w:lvl>
    <w:lvl w:ilvl="3" w:tplc="340A000F" w:tentative="1">
      <w:start w:val="1"/>
      <w:numFmt w:val="decimal"/>
      <w:lvlText w:val="%4."/>
      <w:lvlJc w:val="left"/>
      <w:pPr>
        <w:ind w:left="2921" w:hanging="360"/>
      </w:pPr>
    </w:lvl>
    <w:lvl w:ilvl="4" w:tplc="340A0019" w:tentative="1">
      <w:start w:val="1"/>
      <w:numFmt w:val="lowerLetter"/>
      <w:lvlText w:val="%5."/>
      <w:lvlJc w:val="left"/>
      <w:pPr>
        <w:ind w:left="3641" w:hanging="360"/>
      </w:pPr>
    </w:lvl>
    <w:lvl w:ilvl="5" w:tplc="340A001B" w:tentative="1">
      <w:start w:val="1"/>
      <w:numFmt w:val="lowerRoman"/>
      <w:lvlText w:val="%6."/>
      <w:lvlJc w:val="right"/>
      <w:pPr>
        <w:ind w:left="4361" w:hanging="180"/>
      </w:pPr>
    </w:lvl>
    <w:lvl w:ilvl="6" w:tplc="340A000F" w:tentative="1">
      <w:start w:val="1"/>
      <w:numFmt w:val="decimal"/>
      <w:lvlText w:val="%7."/>
      <w:lvlJc w:val="left"/>
      <w:pPr>
        <w:ind w:left="5081" w:hanging="360"/>
      </w:pPr>
    </w:lvl>
    <w:lvl w:ilvl="7" w:tplc="340A0019" w:tentative="1">
      <w:start w:val="1"/>
      <w:numFmt w:val="lowerLetter"/>
      <w:lvlText w:val="%8."/>
      <w:lvlJc w:val="left"/>
      <w:pPr>
        <w:ind w:left="5801" w:hanging="360"/>
      </w:pPr>
    </w:lvl>
    <w:lvl w:ilvl="8" w:tplc="34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4A3E6484"/>
    <w:multiLevelType w:val="hybridMultilevel"/>
    <w:tmpl w:val="4322C7D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556A4"/>
    <w:multiLevelType w:val="hybridMultilevel"/>
    <w:tmpl w:val="3160AFB4"/>
    <w:lvl w:ilvl="0" w:tplc="8DCE8F58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633C5"/>
    <w:multiLevelType w:val="hybridMultilevel"/>
    <w:tmpl w:val="141CD390"/>
    <w:lvl w:ilvl="0" w:tplc="917E0B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A1564"/>
    <w:multiLevelType w:val="hybridMultilevel"/>
    <w:tmpl w:val="FAF8C79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B12C0"/>
    <w:multiLevelType w:val="hybridMultilevel"/>
    <w:tmpl w:val="90348836"/>
    <w:lvl w:ilvl="0" w:tplc="DB4A5036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D0A6851"/>
    <w:multiLevelType w:val="hybridMultilevel"/>
    <w:tmpl w:val="665C5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57F8E"/>
    <w:multiLevelType w:val="hybridMultilevel"/>
    <w:tmpl w:val="809C7428"/>
    <w:lvl w:ilvl="0" w:tplc="C42421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1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5D80"/>
    <w:rsid w:val="00007F07"/>
    <w:rsid w:val="00010993"/>
    <w:rsid w:val="00034A06"/>
    <w:rsid w:val="000409C7"/>
    <w:rsid w:val="00045A89"/>
    <w:rsid w:val="00085518"/>
    <w:rsid w:val="00092926"/>
    <w:rsid w:val="000967FA"/>
    <w:rsid w:val="00096DD2"/>
    <w:rsid w:val="000B5399"/>
    <w:rsid w:val="000C011D"/>
    <w:rsid w:val="000D216D"/>
    <w:rsid w:val="000E341C"/>
    <w:rsid w:val="000F14B5"/>
    <w:rsid w:val="00113473"/>
    <w:rsid w:val="00124DA7"/>
    <w:rsid w:val="001324E5"/>
    <w:rsid w:val="0013736F"/>
    <w:rsid w:val="001624BA"/>
    <w:rsid w:val="001663AB"/>
    <w:rsid w:val="00173A99"/>
    <w:rsid w:val="00180C7E"/>
    <w:rsid w:val="0019632B"/>
    <w:rsid w:val="001B6DD4"/>
    <w:rsid w:val="001D157D"/>
    <w:rsid w:val="001E0FEE"/>
    <w:rsid w:val="001E4C1D"/>
    <w:rsid w:val="001F2AFD"/>
    <w:rsid w:val="00214C24"/>
    <w:rsid w:val="002236E9"/>
    <w:rsid w:val="00251C68"/>
    <w:rsid w:val="002565F1"/>
    <w:rsid w:val="00261024"/>
    <w:rsid w:val="002744D2"/>
    <w:rsid w:val="002A22F8"/>
    <w:rsid w:val="002B1470"/>
    <w:rsid w:val="002D23F3"/>
    <w:rsid w:val="00301F6E"/>
    <w:rsid w:val="003535BF"/>
    <w:rsid w:val="003732DE"/>
    <w:rsid w:val="00373AAB"/>
    <w:rsid w:val="00381F9F"/>
    <w:rsid w:val="00390143"/>
    <w:rsid w:val="003A32D5"/>
    <w:rsid w:val="003C4178"/>
    <w:rsid w:val="003D24E0"/>
    <w:rsid w:val="003F0920"/>
    <w:rsid w:val="003F712A"/>
    <w:rsid w:val="00402BA6"/>
    <w:rsid w:val="00405288"/>
    <w:rsid w:val="00411101"/>
    <w:rsid w:val="00452C80"/>
    <w:rsid w:val="004C4F03"/>
    <w:rsid w:val="004E36E7"/>
    <w:rsid w:val="004F131E"/>
    <w:rsid w:val="00502716"/>
    <w:rsid w:val="00535F36"/>
    <w:rsid w:val="00557235"/>
    <w:rsid w:val="0056276F"/>
    <w:rsid w:val="005632DF"/>
    <w:rsid w:val="005669BF"/>
    <w:rsid w:val="00572D3B"/>
    <w:rsid w:val="005C7DD8"/>
    <w:rsid w:val="005E5AD0"/>
    <w:rsid w:val="005F2D7A"/>
    <w:rsid w:val="00621030"/>
    <w:rsid w:val="00623830"/>
    <w:rsid w:val="00625F2A"/>
    <w:rsid w:val="0063530C"/>
    <w:rsid w:val="00651453"/>
    <w:rsid w:val="00656FAF"/>
    <w:rsid w:val="00662AF2"/>
    <w:rsid w:val="00675DEF"/>
    <w:rsid w:val="00691706"/>
    <w:rsid w:val="006A4ED1"/>
    <w:rsid w:val="006B4B19"/>
    <w:rsid w:val="006C31E2"/>
    <w:rsid w:val="006C5F64"/>
    <w:rsid w:val="006E0060"/>
    <w:rsid w:val="006E59CE"/>
    <w:rsid w:val="006E5D80"/>
    <w:rsid w:val="006F6909"/>
    <w:rsid w:val="0072124F"/>
    <w:rsid w:val="00751359"/>
    <w:rsid w:val="00760FB4"/>
    <w:rsid w:val="00763A11"/>
    <w:rsid w:val="00795EEF"/>
    <w:rsid w:val="007A747F"/>
    <w:rsid w:val="007B066F"/>
    <w:rsid w:val="007B57FC"/>
    <w:rsid w:val="007D62A9"/>
    <w:rsid w:val="007F5917"/>
    <w:rsid w:val="00802500"/>
    <w:rsid w:val="00815458"/>
    <w:rsid w:val="00824F84"/>
    <w:rsid w:val="008330D0"/>
    <w:rsid w:val="00833D14"/>
    <w:rsid w:val="00853896"/>
    <w:rsid w:val="00866AC7"/>
    <w:rsid w:val="008808F5"/>
    <w:rsid w:val="008B1D60"/>
    <w:rsid w:val="008C3DD1"/>
    <w:rsid w:val="008F5EE0"/>
    <w:rsid w:val="008F69F8"/>
    <w:rsid w:val="00921857"/>
    <w:rsid w:val="00947284"/>
    <w:rsid w:val="00961F7C"/>
    <w:rsid w:val="009B18D7"/>
    <w:rsid w:val="009E1EC4"/>
    <w:rsid w:val="009E74AC"/>
    <w:rsid w:val="00A00C8E"/>
    <w:rsid w:val="00A02A20"/>
    <w:rsid w:val="00A21391"/>
    <w:rsid w:val="00A26112"/>
    <w:rsid w:val="00A27454"/>
    <w:rsid w:val="00A301C9"/>
    <w:rsid w:val="00A409D8"/>
    <w:rsid w:val="00A446A8"/>
    <w:rsid w:val="00A6404B"/>
    <w:rsid w:val="00AA6741"/>
    <w:rsid w:val="00AF0996"/>
    <w:rsid w:val="00B10800"/>
    <w:rsid w:val="00B55BBB"/>
    <w:rsid w:val="00B71B55"/>
    <w:rsid w:val="00B947AD"/>
    <w:rsid w:val="00BB4079"/>
    <w:rsid w:val="00BC5980"/>
    <w:rsid w:val="00BD627D"/>
    <w:rsid w:val="00BE6EA0"/>
    <w:rsid w:val="00BF4E4A"/>
    <w:rsid w:val="00C104DD"/>
    <w:rsid w:val="00C11BCD"/>
    <w:rsid w:val="00C20F27"/>
    <w:rsid w:val="00C31E72"/>
    <w:rsid w:val="00C525F0"/>
    <w:rsid w:val="00C56565"/>
    <w:rsid w:val="00CF7317"/>
    <w:rsid w:val="00D05FD3"/>
    <w:rsid w:val="00D24378"/>
    <w:rsid w:val="00D244E8"/>
    <w:rsid w:val="00D365F4"/>
    <w:rsid w:val="00D6330D"/>
    <w:rsid w:val="00D91CD5"/>
    <w:rsid w:val="00DB56D6"/>
    <w:rsid w:val="00DD1DFE"/>
    <w:rsid w:val="00DD6259"/>
    <w:rsid w:val="00DF785B"/>
    <w:rsid w:val="00DF790C"/>
    <w:rsid w:val="00E0164C"/>
    <w:rsid w:val="00E018E5"/>
    <w:rsid w:val="00E15A5F"/>
    <w:rsid w:val="00E513BD"/>
    <w:rsid w:val="00E5734F"/>
    <w:rsid w:val="00EB13FE"/>
    <w:rsid w:val="00EC03D4"/>
    <w:rsid w:val="00ED7EDB"/>
    <w:rsid w:val="00EF772E"/>
    <w:rsid w:val="00F13AAF"/>
    <w:rsid w:val="00F33367"/>
    <w:rsid w:val="00F371F3"/>
    <w:rsid w:val="00F52536"/>
    <w:rsid w:val="00FA034A"/>
    <w:rsid w:val="00FA7869"/>
    <w:rsid w:val="00FA78EF"/>
    <w:rsid w:val="00FC0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80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800"/>
    <w:pPr>
      <w:ind w:left="720"/>
      <w:contextualSpacing/>
    </w:pPr>
  </w:style>
  <w:style w:type="paragraph" w:customStyle="1" w:styleId="Default">
    <w:name w:val="Default"/>
    <w:rsid w:val="000E3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926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E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AD0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5E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D0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FA78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11347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113473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113473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113473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113473"/>
    <w:rPr>
      <w:rFonts w:ascii="Courier New" w:eastAsia="Times New Roman" w:hAnsi="Courier New"/>
      <w:lang w:val="en-US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E15A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15A5F"/>
    <w:rPr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2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 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 IV. A</a:t>
          </a:r>
          <a:r>
            <a:rPr lang="es-CL" sz="1100">
              <a:solidFill>
                <a:schemeClr val="tx1"/>
              </a:solidFill>
            </a:rPr>
            <a:t>spectos transversales de las unidades.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Recomendaciones de la AAA, acreditación 2012</a:t>
          </a:r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800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Vicerrectoría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15818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20485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134444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19011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127136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93963" custScaleY="18063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9BDFEA19-B7D5-41A1-9D4B-219795BAD730}" type="presOf" srcId="{9AB012B8-2013-450E-9838-0C28222136BD}" destId="{E6F352DB-CD87-4918-9AD7-E42C47D5DCDD}" srcOrd="1" destOrd="1" presId="urn:microsoft.com/office/officeart/2005/8/layout/vList4#21"/>
    <dgm:cxn modelId="{32E470D8-7263-458C-8AA4-786C801376BC}" type="presOf" srcId="{C1EAD699-C332-4768-9340-40BA75436597}" destId="{91D06AA7-979D-43BF-B212-107FACA35ABA}" srcOrd="0" destOrd="0" presId="urn:microsoft.com/office/officeart/2005/8/layout/vList4#21"/>
    <dgm:cxn modelId="{B0B29221-880B-426A-AE23-BBD1AD109B5A}" type="presOf" srcId="{6AA3FB31-4991-444D-A81C-0248C1DD88DC}" destId="{99B4252B-8A91-4748-9825-EE88056880A2}" srcOrd="0" destOrd="0" presId="urn:microsoft.com/office/officeart/2005/8/layout/vList4#21"/>
    <dgm:cxn modelId="{ACB7A192-7E7B-4424-9953-F45CBCA1EC05}" type="presOf" srcId="{F9C1ABE1-9CC1-4B98-9F18-448C386F07BB}" destId="{9AEAC8AE-0E2F-4013-B60E-3514410A1D49}" srcOrd="1" destOrd="0" presId="urn:microsoft.com/office/officeart/2005/8/layout/vList4#21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90B3C852-593B-4283-B8C5-9A57BA5BDED4}" type="presOf" srcId="{F9C1ABE1-9CC1-4B98-9F18-448C386F07BB}" destId="{D7C1CED6-C28A-44AA-A56E-8BF9F93A5C63}" srcOrd="0" destOrd="0" presId="urn:microsoft.com/office/officeart/2005/8/layout/vList4#21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C3FE91E7-AF36-4ED8-9D2F-B78741286124}" type="presOf" srcId="{7D736F56-5E7C-4165-A439-DB85FF57B667}" destId="{0F1D83A8-E96B-4ED1-86DB-8974815ECD30}" srcOrd="1" destOrd="0" presId="urn:microsoft.com/office/officeart/2005/8/layout/vList4#21"/>
    <dgm:cxn modelId="{12389AE3-C5D2-47BE-8552-BB026D958756}" type="presOf" srcId="{C1EAD699-C332-4768-9340-40BA75436597}" destId="{E6F352DB-CD87-4918-9AD7-E42C47D5DCDD}" srcOrd="1" destOrd="0" presId="urn:microsoft.com/office/officeart/2005/8/layout/vList4#21"/>
    <dgm:cxn modelId="{50768E54-5A98-4071-8C20-912344B2F1C5}" type="presOf" srcId="{9AB012B8-2013-450E-9838-0C28222136BD}" destId="{91D06AA7-979D-43BF-B212-107FACA35ABA}" srcOrd="0" destOrd="1" presId="urn:microsoft.com/office/officeart/2005/8/layout/vList4#21"/>
    <dgm:cxn modelId="{E6AEDCF5-2F1B-4909-9E12-A8DAC8398666}" type="presOf" srcId="{7D736F56-5E7C-4165-A439-DB85FF57B667}" destId="{881537AB-96C8-465C-B9F2-F14F4D5B2C60}" srcOrd="0" destOrd="0" presId="urn:microsoft.com/office/officeart/2005/8/layout/vList4#21"/>
    <dgm:cxn modelId="{81A3E44D-1F39-4CC9-8142-ED060572FDCA}" type="presParOf" srcId="{99B4252B-8A91-4748-9825-EE88056880A2}" destId="{18D71F07-69E2-4CBD-9C2B-B76CB06075E4}" srcOrd="0" destOrd="0" presId="urn:microsoft.com/office/officeart/2005/8/layout/vList4#21"/>
    <dgm:cxn modelId="{36884BE6-DC05-4EC8-B700-D4EC4EC709D2}" type="presParOf" srcId="{18D71F07-69E2-4CBD-9C2B-B76CB06075E4}" destId="{91D06AA7-979D-43BF-B212-107FACA35ABA}" srcOrd="0" destOrd="0" presId="urn:microsoft.com/office/officeart/2005/8/layout/vList4#21"/>
    <dgm:cxn modelId="{2C14B652-E1A0-4375-B233-F382C602869F}" type="presParOf" srcId="{18D71F07-69E2-4CBD-9C2B-B76CB06075E4}" destId="{35BD51C7-13ED-46EC-99EB-69C6A5C7F517}" srcOrd="1" destOrd="0" presId="urn:microsoft.com/office/officeart/2005/8/layout/vList4#21"/>
    <dgm:cxn modelId="{8BC2A22B-B6BB-4E00-9C8A-3C6B1A303000}" type="presParOf" srcId="{18D71F07-69E2-4CBD-9C2B-B76CB06075E4}" destId="{E6F352DB-CD87-4918-9AD7-E42C47D5DCDD}" srcOrd="2" destOrd="0" presId="urn:microsoft.com/office/officeart/2005/8/layout/vList4#21"/>
    <dgm:cxn modelId="{6C1CD261-CBAF-497D-A1DA-A14B4F075139}" type="presParOf" srcId="{99B4252B-8A91-4748-9825-EE88056880A2}" destId="{25D340C1-1622-45D0-80D0-BE9A0913DD9F}" srcOrd="1" destOrd="0" presId="urn:microsoft.com/office/officeart/2005/8/layout/vList4#21"/>
    <dgm:cxn modelId="{946385BC-8B8B-4D02-83F7-2D7DB90F1357}" type="presParOf" srcId="{99B4252B-8A91-4748-9825-EE88056880A2}" destId="{BA1BFBF2-4F25-435A-8168-D27DD89DBDA9}" srcOrd="2" destOrd="0" presId="urn:microsoft.com/office/officeart/2005/8/layout/vList4#21"/>
    <dgm:cxn modelId="{917BF8AF-39C6-498A-B5A3-32C8F8E638E8}" type="presParOf" srcId="{BA1BFBF2-4F25-435A-8168-D27DD89DBDA9}" destId="{881537AB-96C8-465C-B9F2-F14F4D5B2C60}" srcOrd="0" destOrd="0" presId="urn:microsoft.com/office/officeart/2005/8/layout/vList4#21"/>
    <dgm:cxn modelId="{B08B63F0-EB07-422B-AF67-2B15F97C8BC3}" type="presParOf" srcId="{BA1BFBF2-4F25-435A-8168-D27DD89DBDA9}" destId="{4FA255E2-8701-4F4E-995A-B6AF0629C9A7}" srcOrd="1" destOrd="0" presId="urn:microsoft.com/office/officeart/2005/8/layout/vList4#21"/>
    <dgm:cxn modelId="{C41F6117-08D3-472C-9CAB-A49B354325D1}" type="presParOf" srcId="{BA1BFBF2-4F25-435A-8168-D27DD89DBDA9}" destId="{0F1D83A8-E96B-4ED1-86DB-8974815ECD30}" srcOrd="2" destOrd="0" presId="urn:microsoft.com/office/officeart/2005/8/layout/vList4#21"/>
    <dgm:cxn modelId="{64834F71-0AE1-42BB-AAC3-073143F1B36A}" type="presParOf" srcId="{99B4252B-8A91-4748-9825-EE88056880A2}" destId="{D747FC36-A6F5-4493-8FCA-3E90F496E8C8}" srcOrd="3" destOrd="0" presId="urn:microsoft.com/office/officeart/2005/8/layout/vList4#21"/>
    <dgm:cxn modelId="{F9887D54-0D21-41E9-8AEA-A6D51F5E6894}" type="presParOf" srcId="{99B4252B-8A91-4748-9825-EE88056880A2}" destId="{93142622-88A7-4214-9224-299B0A579FEF}" srcOrd="4" destOrd="0" presId="urn:microsoft.com/office/officeart/2005/8/layout/vList4#21"/>
    <dgm:cxn modelId="{B9B6FC69-0AC1-4C3A-AE4C-81A6C0F633CF}" type="presParOf" srcId="{93142622-88A7-4214-9224-299B0A579FEF}" destId="{D7C1CED6-C28A-44AA-A56E-8BF9F93A5C63}" srcOrd="0" destOrd="0" presId="urn:microsoft.com/office/officeart/2005/8/layout/vList4#21"/>
    <dgm:cxn modelId="{CF15C466-40D2-4D14-AA55-73503A294087}" type="presParOf" srcId="{93142622-88A7-4214-9224-299B0A579FEF}" destId="{2696C48F-B82C-47DA-BF9F-BEF13567D525}" srcOrd="1" destOrd="0" presId="urn:microsoft.com/office/officeart/2005/8/layout/vList4#21"/>
    <dgm:cxn modelId="{0EE9A59B-967C-46E8-BCDA-50010D8012A2}" type="presParOf" srcId="{93142622-88A7-4214-9224-299B0A579FEF}" destId="{9AEAC8AE-0E2F-4013-B60E-3514410A1D49}" srcOrd="2" destOrd="0" presId="urn:microsoft.com/office/officeart/2005/8/layout/vList4#21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3123"/>
          <a:ext cx="8258810" cy="18407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 I. Desafios propios de la unidad que quedaron pendietes en el ciclo de calidad del año 2012.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 IV. A</a:t>
          </a:r>
          <a:r>
            <a:rPr lang="es-CL" sz="1100" kern="1200">
              <a:solidFill>
                <a:schemeClr val="tx1"/>
              </a:solidFill>
            </a:rPr>
            <a:t>spectos transversales de las unidades.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Recomendaciones de la AAA, acreditación 2012</a:t>
          </a: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768128" y="33123"/>
        <a:ext cx="6490681" cy="1840772"/>
      </dsp:txXfrm>
    </dsp:sp>
    <dsp:sp modelId="{35BD51C7-13ED-46EC-99EB-69C6A5C7F517}">
      <dsp:nvSpPr>
        <dsp:cNvPr id="0" name=""/>
        <dsp:cNvSpPr/>
      </dsp:nvSpPr>
      <dsp:spPr>
        <a:xfrm>
          <a:off x="116366" y="0"/>
          <a:ext cx="1651762" cy="190701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2126064"/>
          <a:ext cx="8258810" cy="156448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>
              <a:solidFill>
                <a:schemeClr val="tx1"/>
              </a:solidFill>
            </a:rPr>
            <a:t>PROCESO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768128" y="2126064"/>
        <a:ext cx="6490681" cy="1564482"/>
      </dsp:txXfrm>
    </dsp:sp>
    <dsp:sp modelId="{4FA255E2-8701-4F4E-995A-B6AF0629C9A7}">
      <dsp:nvSpPr>
        <dsp:cNvPr id="0" name=""/>
        <dsp:cNvSpPr/>
      </dsp:nvSpPr>
      <dsp:spPr>
        <a:xfrm>
          <a:off x="116366" y="2023386"/>
          <a:ext cx="1651762" cy="176983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4010653"/>
          <a:ext cx="8258810" cy="1479441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kern="1200">
              <a:solidFill>
                <a:schemeClr val="tx1"/>
              </a:solidFill>
            </a:rPr>
            <a:t>OUTPUT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Vicerrectoría (se alimenta de las Debilidades del FODA+ Desafios propios de la unidad)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  <a:endParaRPr lang="es-CL" kern="1200">
            <a:solidFill>
              <a:schemeClr val="tx1"/>
            </a:solidFill>
          </a:endParaRPr>
        </a:p>
      </dsp:txBody>
      <dsp:txXfrm>
        <a:off x="1768128" y="4010653"/>
        <a:ext cx="6490681" cy="1479441"/>
      </dsp:txXfrm>
    </dsp:sp>
    <dsp:sp modelId="{2696C48F-B82C-47DA-BF9F-BEF13567D525}">
      <dsp:nvSpPr>
        <dsp:cNvPr id="0" name=""/>
        <dsp:cNvSpPr/>
      </dsp:nvSpPr>
      <dsp:spPr>
        <a:xfrm>
          <a:off x="166225" y="3909591"/>
          <a:ext cx="1552045" cy="168156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21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81594-8368-4D71-8543-2C3EDEF1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23</Pages>
  <Words>3094</Words>
  <Characters>17021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21</cp:revision>
  <cp:lastPrinted>2011-02-08T14:05:00Z</cp:lastPrinted>
  <dcterms:created xsi:type="dcterms:W3CDTF">2012-01-25T14:48:00Z</dcterms:created>
  <dcterms:modified xsi:type="dcterms:W3CDTF">2012-12-17T13:50:00Z</dcterms:modified>
</cp:coreProperties>
</file>