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claude-code-build-update-s1s19"/>
    <w:p>
      <w:pPr>
        <w:pStyle w:val="Heading1"/>
      </w:pPr>
      <w:r>
        <w:t xml:space="preserve">Claude Code — build / update S1–S19</w:t>
      </w:r>
    </w:p>
    <w:bookmarkEnd w:id="20"/>
    <w:bookmarkStart w:id="21" w:name="X8f919901aca96ad6bdbabf75cfeadb1ea90291f"/>
    <w:p>
      <w:pPr>
        <w:pStyle w:val="Heading1"/>
      </w:pPr>
      <w:r>
        <w:t xml:space="preserve">PRJ-34 De-Risking Strategies — Crisis + Resilience</w:t>
      </w:r>
    </w:p>
    <w:bookmarkEnd w:id="21"/>
    <w:bookmarkStart w:id="52" w:name="september-2026"/>
    <w:p>
      <w:pPr>
        <w:pStyle w:val="Heading1"/>
      </w:pPr>
      <w:r>
        <w:t xml:space="preserve">23 September 2026</w:t>
      </w:r>
    </w:p>
    <w:p>
      <w:pPr>
        <w:pStyle w:val="FirstParagraph"/>
      </w:pPr>
      <w:r>
        <w:t xml:space="preserve">You are updating the eXeL AI Polling / Gate Review S1–S19 deck for PRJ-34.</w:t>
      </w:r>
      <w:r>
        <w:br/>
      </w:r>
      <w:r>
        <w:t xml:space="preserve">This file is the implementation spec. Follow it. Do not invent strategy.</w:t>
      </w:r>
    </w:p>
    <w:p>
      <w:r>
        <w:pict>
          <v:rect style="width:0;height:1.5pt" o:hralign="center" o:hrstd="t" o:hr="t"/>
        </w:pict>
      </w:r>
    </w:p>
    <w:bookmarkStart w:id="22" w:name="mission"/>
    <w:p>
      <w:pPr>
        <w:pStyle w:val="Heading2"/>
      </w:pPr>
      <w:r>
        <w:t xml:space="preserve">0. Mission</w:t>
      </w:r>
    </w:p>
    <w:p>
      <w:pPr>
        <w:pStyle w:val="FirstParagraph"/>
      </w:pPr>
      <w:r>
        <w:t xml:space="preserve">Produce two decks from frozen text: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PRJ-34_DRS_Crisis_Resilience_INTERNAL_G2.pptx</w:t>
      </w:r>
      <w:r>
        <w:t xml:space="preserve"> </w:t>
      </w:r>
      <w:r>
        <w:t xml:space="preserve">— full gate deck</w:t>
      </w:r>
      <w:r>
        <w:br/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PRJ-34_DRS_Crisis_Resilience_EXTERNAL.pptx</w:t>
      </w:r>
      <w:r>
        <w:t xml:space="preserve"> </w:t>
      </w:r>
      <w:r>
        <w:t xml:space="preserve">— partner/customer twin</w:t>
      </w:r>
    </w:p>
    <w:p>
      <w:pPr>
        <w:pStyle w:val="FirstParagraph"/>
      </w:pPr>
      <w:r>
        <w:t xml:space="preserve">Source of slide words:</w:t>
      </w:r>
      <w:r>
        <w:br/>
      </w:r>
      <w:r>
        <w:rPr>
          <w:rStyle w:val="VerbatimChar"/>
        </w:rPr>
        <w:t xml:space="preserve">canonical/DRS_Crisis_Resilience_S1-S19_Slide_Manuscript_v0.5.md</w:t>
      </w:r>
    </w:p>
    <w:p>
      <w:pPr>
        <w:pStyle w:val="BodyText"/>
      </w:pPr>
      <w:r>
        <w:t xml:space="preserve">Source of long-form backup / speaker notes:</w:t>
      </w:r>
      <w:r>
        <w:br/>
      </w:r>
      <w:r>
        <w:rPr>
          <w:rStyle w:val="VerbatimChar"/>
        </w:rPr>
        <w:t xml:space="preserve">canonical/DRS_Crisis_Resilience_Full_Text_Writeup_v0.4.md</w:t>
      </w:r>
    </w:p>
    <w:p>
      <w:pPr>
        <w:pStyle w:val="BodyText"/>
      </w:pPr>
      <w:r>
        <w:t xml:space="preserve">Layout reference only:</w:t>
      </w:r>
      <w:r>
        <w:br/>
      </w:r>
      <w:r>
        <w:rPr>
          <w:rStyle w:val="VerbatimChar"/>
        </w:rPr>
        <w:t xml:space="preserve">eXeL AI Polling.pdf</w:t>
      </w:r>
      <w:r>
        <w:t xml:space="preserve"> </w:t>
      </w:r>
      <w:r>
        <w:t xml:space="preserve">(PRJ-31 template). Copy structure, colors, footer discipline if a .pptx template exists.</w:t>
      </w:r>
      <w:r>
        <w:t xml:space="preserve"> </w:t>
      </w:r>
      <w:r>
        <w:rPr>
          <w:bCs/>
          <w:b/>
        </w:rPr>
        <w:t xml:space="preserve">Do not copy PRJ-31 numbers, product name, or NBA.</w:t>
      </w:r>
    </w:p>
    <w:p>
      <w:pPr>
        <w:pStyle w:val="BodyText"/>
      </w:pPr>
      <w:r>
        <w:t xml:space="preserve">If no .pptx template is in the workspace, build 19-slide widescreen 16:9 decks from v0.5. Keep typography and footer consistent. Do not design a new strategy.</w:t>
      </w:r>
    </w:p>
    <w:p>
      <w:r>
        <w:pict>
          <v:rect style="width:0;height:1.5pt" o:hralign="center" o:hrstd="t" o:hr="t"/>
        </w:pict>
      </w:r>
    </w:p>
    <w:bookmarkEnd w:id="22"/>
    <w:bookmarkStart w:id="23" w:name="locked-facts-do-not-improve"/>
    <w:p>
      <w:pPr>
        <w:pStyle w:val="Heading2"/>
      </w:pPr>
      <w:r>
        <w:t xml:space="preserve">1. Locked facts — do not</w:t>
      </w:r>
      <w:r>
        <w:t xml:space="preserve"> </w:t>
      </w:r>
      <w:r>
        <w:t xml:space="preserve">“</w:t>
      </w:r>
      <w:r>
        <w:t xml:space="preserve">improve</w:t>
      </w:r>
      <w:r>
        <w:t xml:space="preserve">”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Project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PRJ-34 De-Risking Strategies — Crisis + Resilience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G2 Plan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Approve G2. Release $280k of $620k MVP 1. First paid DP 2027-Q3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CrisisCommand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Proposed complementary integration. Not a partnership. Not an assumed API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R-CORE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Architecture. SKU = Replay + Readiness — powered by R-CORE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NBA pairs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Utility/Industrial ↔ GridOS · Healthcare ↔ Veoci Vitals EM · Campus ↔ YUDU Sentinel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NPV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$0.16M at 12%, 2026 = t0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IRR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~20%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$268M universe / $67M near-term. Not $220M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CTS IA $/yr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Campus 16 · Health 39 · Utility comm. 53 · Industrial 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Change rule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 not rewrite waterfalls, prices, or claims from model opinion</w:t>
            </w:r>
          </w:p>
        </w:tc>
      </w:tr>
    </w:tbl>
    <w:p>
      <w:pPr>
        <w:pStyle w:val="BodyText"/>
      </w:pPr>
      <w:r>
        <w:t xml:space="preserve">Two labels, always separate on INTERNAL:</w:t>
      </w:r>
    </w:p>
    <w:p>
      <w:pPr>
        <w:numPr>
          <w:ilvl w:val="0"/>
          <w:numId w:val="1002"/>
        </w:numPr>
        <w:pStyle w:val="Compact"/>
      </w:pPr>
      <w:r>
        <w:t xml:space="preserve">Modeled Value → Evidence-Based Capture Range</w:t>
      </w:r>
      <w:r>
        <w:br/>
      </w:r>
    </w:p>
    <w:p>
      <w:pPr>
        <w:numPr>
          <w:ilvl w:val="0"/>
          <w:numId w:val="1002"/>
        </w:numPr>
        <w:pStyle w:val="Compact"/>
      </w:pPr>
      <w:r>
        <w:t xml:space="preserve">Design-Partner WTP Hypothesis → To Be Tested</w:t>
      </w:r>
    </w:p>
    <w:p>
      <w:pPr>
        <w:pStyle w:val="FirstParagraph"/>
      </w:pPr>
      <w:r>
        <w:t xml:space="preserve">G2 master question (S1 and S19, verbatim):</w:t>
      </w:r>
    </w:p>
    <w:p>
      <w:pPr>
        <w:pStyle w:val="BlockText"/>
      </w:pPr>
      <w:r>
        <w:t xml:space="preserve">Can DRS prove that verified authority + resource fulfillment + provenance + replay creates enough incremental value beside the customer’s existing NBA to support a paid attach product?</w:t>
      </w:r>
    </w:p>
    <w:p>
      <w:pPr>
        <w:pStyle w:val="FirstParagraph"/>
      </w:pPr>
      <w:r>
        <w:t xml:space="preserve">Footer on every slide (verbatim):</w:t>
      </w:r>
    </w:p>
    <w:p>
      <w:pPr>
        <w:pStyle w:val="BlockText"/>
      </w:pPr>
      <w:r>
        <w:t xml:space="preserve">Human-authored strategy · AI-assisted synthesis by eXeL AI · cross-review informed by Grok · final authority: De-Risking Strategies · v0.5 · IA for feedback</w:t>
      </w:r>
    </w:p>
    <w:p>
      <w:pPr>
        <w:pStyle w:val="FirstParagraph"/>
      </w:pPr>
      <w:r>
        <w:t xml:space="preserve">Also show:</w:t>
      </w:r>
      <w:r>
        <w:t xml:space="preserve"> </w:t>
      </w:r>
      <w:r>
        <w:rPr>
          <w:rStyle w:val="VerbatimChar"/>
        </w:rPr>
        <w:t xml:space="preserve">PRJ-34 · G2 Plan · Confidential</w:t>
      </w:r>
      <w:r>
        <w:t xml:space="preserve"> </w:t>
      </w:r>
      <w:r>
        <w:t xml:space="preserve">on INTERNAL. Drop</w:t>
      </w:r>
      <w:r>
        <w:t xml:space="preserve"> </w:t>
      </w:r>
      <w:r>
        <w:t xml:space="preserve">“</w:t>
      </w:r>
      <w:r>
        <w:t xml:space="preserve">Confidential</w:t>
      </w:r>
      <w:r>
        <w:t xml:space="preserve">”</w:t>
      </w:r>
      <w:r>
        <w:t xml:space="preserve"> </w:t>
      </w:r>
      <w:r>
        <w:t xml:space="preserve">logic only if HI says so. EXTERNAL footer same provenance, no internal capture-percent callouts.</w:t>
      </w:r>
    </w:p>
    <w:p>
      <w:r>
        <w:pict>
          <v:rect style="width:0;height:1.5pt" o:hralign="center" o:hrstd="t" o:hr="t"/>
        </w:pict>
      </w:r>
    </w:p>
    <w:bookmarkEnd w:id="23"/>
    <w:bookmarkStart w:id="24" w:name="banned-strings-fail-the-build-if-present"/>
    <w:p>
      <w:pPr>
        <w:pStyle w:val="Heading2"/>
      </w:pPr>
      <w:r>
        <w:t xml:space="preserve">2. Banned strings — fail the build if present</w:t>
      </w:r>
    </w:p>
    <w:p>
      <w:pPr>
        <w:pStyle w:val="FirstParagraph"/>
      </w:pPr>
      <w:r>
        <w:t xml:space="preserve">Grep the finished decks for these. If found, fix before delivery.</w:t>
      </w:r>
    </w:p>
    <w:p>
      <w:pPr>
        <w:pStyle w:val="BodyText"/>
      </w:pPr>
      <w:r>
        <w:t xml:space="preserve">Partnership / over-claim</w:t>
      </w:r>
      <w:r>
        <w:br/>
      </w:r>
      <w:r>
        <w:t xml:space="preserve">- partnered CrisisCommand</w:t>
      </w:r>
      <w:r>
        <w:br/>
      </w:r>
      <w:r>
        <w:t xml:space="preserve">- CrisisCommand partnership</w:t>
      </w:r>
      <w:r>
        <w:br/>
      </w:r>
      <w:r>
        <w:t xml:space="preserve">- CrisisCommand API (as if it exists)</w:t>
      </w:r>
      <w:r>
        <w:br/>
      </w:r>
      <w:r>
        <w:t xml:space="preserve">- we ingest their strategy object today</w:t>
      </w:r>
    </w:p>
    <w:p>
      <w:pPr>
        <w:pStyle w:val="BodyText"/>
      </w:pPr>
      <w:r>
        <w:t xml:space="preserve">Certification (unverified)</w:t>
      </w:r>
      <w:r>
        <w:br/>
      </w:r>
      <w:r>
        <w:t xml:space="preserve">- SOC 2 Type II report expected</w:t>
      </w:r>
      <w:r>
        <w:br/>
      </w:r>
      <w:r>
        <w:t xml:space="preserve">- HEALTH refuses PHI</w:t>
      </w:r>
      <w:r>
        <w:br/>
      </w:r>
      <w:r>
        <w:t xml:space="preserve">- HIPAA system of record</w:t>
      </w:r>
      <w:r>
        <w:br/>
      </w:r>
      <w:r>
        <w:t xml:space="preserve">- FedRAMP authorized (as a DRS or CC fact)</w:t>
      </w:r>
    </w:p>
    <w:p>
      <w:pPr>
        <w:pStyle w:val="BodyText"/>
      </w:pPr>
      <w:r>
        <w:t xml:space="preserve">Product clones</w:t>
      </w:r>
      <w:r>
        <w:br/>
      </w:r>
      <w:r>
        <w:t xml:space="preserve">- SAIDI reduction (as a DRS result)</w:t>
      </w:r>
      <w:r>
        <w:br/>
      </w:r>
      <w:r>
        <w:t xml:space="preserve">- SAIFI / CMI avoided by DRS</w:t>
      </w:r>
      <w:r>
        <w:br/>
      </w:r>
      <w:r>
        <w:t xml:space="preserve">- Storm Manager replacement</w:t>
      </w:r>
      <w:r>
        <w:br/>
      </w:r>
      <w:r>
        <w:t xml:space="preserve">- HICS 201</w:t>
      </w:r>
      <w:r>
        <w:br/>
      </w:r>
      <w:r>
        <w:t xml:space="preserve">- Joint Commission packet</w:t>
      </w:r>
      <w:r>
        <w:br/>
      </w:r>
      <w:r>
        <w:t xml:space="preserve">- mass notification composer</w:t>
      </w:r>
      <w:r>
        <w:br/>
      </w:r>
      <w:r>
        <w:t xml:space="preserve">- SITREP composer as a DRS object</w:t>
      </w:r>
      <w:r>
        <w:br/>
      </w:r>
      <w:r>
        <w:t xml:space="preserve">- we notify in under 60 seconds</w:t>
      </w:r>
    </w:p>
    <w:p>
      <w:pPr>
        <w:pStyle w:val="BodyText"/>
      </w:pPr>
      <w:r>
        <w:t xml:space="preserve">Retired numbers</w:t>
      </w:r>
      <w:r>
        <w:br/>
      </w:r>
      <w:r>
        <w:t xml:space="preserve">- IRR 14%</w:t>
      </w:r>
      <w:r>
        <w:br/>
      </w:r>
      <w:r>
        <w:t xml:space="preserve">- NPV $0.2M</w:t>
      </w:r>
      <w:r>
        <w:br/>
      </w:r>
      <w:r>
        <w:t xml:space="preserve">- SAM $220M</w:t>
      </w:r>
      <w:r>
        <w:br/>
      </w:r>
      <w:r>
        <w:t xml:space="preserve">- event burst 18%</w:t>
      </w:r>
      <w:r>
        <w:br/>
      </w:r>
      <w:r>
        <w:t xml:space="preserve">- G6 Maximize</w:t>
      </w:r>
      <w:r>
        <w:br/>
      </w:r>
      <w:r>
        <w:t xml:space="preserve">- first revenue 2026-Q2</w:t>
      </w:r>
    </w:p>
    <w:p>
      <w:pPr>
        <w:pStyle w:val="BodyText"/>
      </w:pPr>
      <w:r>
        <w:t xml:space="preserve">PRJ-31 bleed</w:t>
      </w:r>
      <w:r>
        <w:br/>
      </w:r>
      <w:r>
        <w:t xml:space="preserve">- Sovereign Deep-Strike</w:t>
      </w:r>
      <w:r>
        <w:br/>
      </w:r>
      <w:r>
        <w:t xml:space="preserve">- Datalink</w:t>
      </w:r>
      <w:r>
        <w:br/>
      </w:r>
      <w:r>
        <w:t xml:space="preserve">- $16.2M</w:t>
      </w:r>
      <w:r>
        <w:br/>
      </w:r>
      <w:r>
        <w:t xml:space="preserve">- 45% IRR</w:t>
      </w:r>
      <w:r>
        <w:br/>
      </w:r>
      <w:r>
        <w:t xml:space="preserve">- 0.5-year payback</w:t>
      </w:r>
    </w:p>
    <w:p>
      <w:pPr>
        <w:pStyle w:val="BodyText"/>
      </w:pPr>
      <w:r>
        <w:t xml:space="preserve">Wrong brands</w:t>
      </w:r>
      <w:r>
        <w:br/>
      </w:r>
      <w:r>
        <w:t xml:space="preserve">- DRS logo on the R-CORE slide (S11 uses R-CORE logo)</w:t>
      </w:r>
      <w:r>
        <w:br/>
      </w:r>
      <w:r>
        <w:t xml:space="preserve">- Ad-Fusion</w:t>
      </w:r>
    </w:p>
    <w:p>
      <w:pPr>
        <w:pStyle w:val="BodyText"/>
      </w:pPr>
      <w:r>
        <w:t xml:space="preserve">If a number is used, it must already appear in v0.5. New dollars are forbidden.</w:t>
      </w:r>
    </w:p>
    <w:p>
      <w:r>
        <w:pict>
          <v:rect style="width:0;height:1.5pt" o:hralign="center" o:hrstd="t" o:hr="t"/>
        </w:pict>
      </w:r>
    </w:p>
    <w:bookmarkEnd w:id="24"/>
    <w:bookmarkStart w:id="25" w:name="internal-vs-external"/>
    <w:p>
      <w:pPr>
        <w:pStyle w:val="Heading2"/>
      </w:pPr>
      <w:r>
        <w:t xml:space="preserve">3. INTERNAL vs EXTERNAL</w:t>
      </w:r>
    </w:p>
    <w:p>
      <w:pPr>
        <w:pStyle w:val="FirstParagraph"/>
      </w:pPr>
      <w:r>
        <w:t xml:space="preserve">Build INTERNAL first, then clone to EXTERNAL and apply every</w:t>
      </w:r>
      <w:r>
        <w:t xml:space="preserve"> </w:t>
      </w:r>
      <w:r>
        <w:rPr>
          <w:rStyle w:val="VerbatimChar"/>
        </w:rPr>
        <w:t xml:space="preserve">[EXT:]</w:t>
      </w:r>
      <w:r>
        <w:t xml:space="preserve"> </w:t>
      </w:r>
      <w:r>
        <w:t xml:space="preserve">substitution in v0.5.</w:t>
      </w:r>
    </w:p>
    <w:p>
      <w:pPr>
        <w:pStyle w:val="BodyText"/>
      </w:pPr>
      <w:r>
        <w:t xml:space="preserve">EXTERNAL must remove or replace: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Slide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Remove from EXTERNAL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Contribution-at-12% commentary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S8–S10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53% / 110% / 92% of modeled value</w:t>
            </w:r>
            <w:r>
              <w:t xml:space="preserve">”</w:t>
            </w:r>
            <w:r>
              <w:t xml:space="preserve"> </w:t>
            </w:r>
            <w:r>
              <w:t xml:space="preserve">lines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 tension table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Cash path, NPV, IRR, SAM method</w:t>
            </w:r>
          </w:p>
        </w:tc>
      </w:tr>
    </w:tbl>
    <w:p>
      <w:pPr>
        <w:pStyle w:val="BodyText"/>
      </w:pPr>
      <w:r>
        <w:t xml:space="preserve">EXTERNAL substitute line (v0.5):</w:t>
      </w:r>
      <w:r>
        <w:br/>
      </w:r>
      <w:r>
        <w:t xml:space="preserve">“</w:t>
      </w:r>
      <w:r>
        <w:t xml:space="preserve">Pricing is under design-partner validation. Value from measured fulfillment, provenance, and replay beside the NBA.</w:t>
      </w:r>
      <w:r>
        <w:t xml:space="preserve">”</w:t>
      </w:r>
    </w:p>
    <w:p>
      <w:pPr>
        <w:pStyle w:val="BodyText"/>
      </w:pPr>
      <w:r>
        <w:t xml:space="preserve">Keep on EXTERNAL: thesis, fences, CONOPS, recipient chain, NBA wedges, horizons, MVP scope, master question, operational metrics.</w:t>
      </w:r>
    </w:p>
    <w:p>
      <w:r>
        <w:pict>
          <v:rect style="width:0;height:1.5pt" o:hralign="center" o:hrstd="t" o:hr="t"/>
        </w:pict>
      </w:r>
    </w:p>
    <w:bookmarkEnd w:id="25"/>
    <w:bookmarkStart w:id="45" w:name="slide-by-slide-build-map"/>
    <w:p>
      <w:pPr>
        <w:pStyle w:val="Heading2"/>
      </w:pPr>
      <w:r>
        <w:t xml:space="preserve">4. Slide-by-slide build map</w:t>
      </w:r>
    </w:p>
    <w:p>
      <w:pPr>
        <w:pStyle w:val="FirstParagraph"/>
      </w:pPr>
      <w:r>
        <w:t xml:space="preserve">Use v0.5 section headings as the words. This map only adds layout and notes.</w:t>
      </w:r>
    </w:p>
    <w:bookmarkStart w:id="26" w:name="s1-executive-summary"/>
    <w:p>
      <w:pPr>
        <w:pStyle w:val="Heading3"/>
      </w:pPr>
      <w:r>
        <w:t xml:space="preserve">S1 Executive summary</w:t>
      </w:r>
    </w:p>
    <w:p>
      <w:pPr>
        <w:pStyle w:val="FirstParagraph"/>
      </w:pPr>
      <w:r>
        <w:t xml:space="preserve">Layout: title + one-sentence + three columns (segments / defend / ask) + master question bar at bottom.</w:t>
      </w:r>
      <w:r>
        <w:br/>
      </w:r>
      <w:r>
        <w:t xml:space="preserve">Must include: proposed integration line, six differentiators, do-not-claim strip, $280k of $620k, 2027-Q3, master question.</w:t>
      </w:r>
      <w:r>
        <w:br/>
      </w:r>
      <w:r>
        <w:t xml:space="preserve">Notes: pipeline table from v0.5.</w:t>
      </w:r>
    </w:p>
    <w:bookmarkEnd w:id="26"/>
    <w:bookmarkStart w:id="27" w:name="s2-overview"/>
    <w:p>
      <w:pPr>
        <w:pStyle w:val="Heading3"/>
      </w:pPr>
      <w:r>
        <w:t xml:space="preserve">S2 Overview</w:t>
      </w:r>
    </w:p>
    <w:p>
      <w:pPr>
        <w:pStyle w:val="FirstParagraph"/>
      </w:pPr>
      <w:r>
        <w:t xml:space="preserve">Layout: missing-layer list (left) · chips (right) · thesis sentence.</w:t>
      </w:r>
      <w:r>
        <w:br/>
      </w:r>
      <w:r>
        <w:t xml:space="preserve">Chips exactly: G2 Plan · $620k / $280k · NRE $1.46M · NPV $0.16M · IRR ~20% · payback ~36 mo · Y3 GM 80–82%.</w:t>
      </w:r>
      <w:r>
        <w:br/>
      </w:r>
      <w:r>
        <w:t xml:space="preserve">Cash series in notes: −260 / −765 / +120 / +1,410.</w:t>
      </w:r>
    </w:p>
    <w:bookmarkEnd w:id="27"/>
    <w:bookmarkStart w:id="28" w:name="s3-segmentation"/>
    <w:p>
      <w:pPr>
        <w:pStyle w:val="Heading3"/>
      </w:pPr>
      <w:r>
        <w:t xml:space="preserve">S3 Segmentation</w:t>
      </w:r>
    </w:p>
    <w:p>
      <w:pPr>
        <w:pStyle w:val="FirstParagraph"/>
      </w:pPr>
      <w:r>
        <w:t xml:space="preserve">Layout: X/Y/Z + WTP/CTS table.</w:t>
      </w:r>
      <w:r>
        <w:br/>
      </w:r>
      <w:r>
        <w:t xml:space="preserve">Must show CTS formula and the four CTS totals.</w:t>
      </w:r>
      <w:r>
        <w:br/>
      </w:r>
      <w:r>
        <w:t xml:space="preserve">Must show the two labels (Modeled Value vs DP WTP).</w:t>
      </w:r>
      <w:r>
        <w:br/>
      </w:r>
      <w:r>
        <w:t xml:space="preserve">Must state: at 12% of modeled value, contribution is negative in every row.</w:t>
      </w:r>
      <w:r>
        <w:br/>
      </w:r>
      <w:r>
        <w:t xml:space="preserve">Industrial = subcase, not fourth segment.</w:t>
      </w:r>
      <w:r>
        <w:br/>
      </w:r>
      <w:r>
        <w:t xml:space="preserve">Campus X/Y/Z marked unvalidated.</w:t>
      </w:r>
    </w:p>
    <w:bookmarkEnd w:id="28"/>
    <w:bookmarkStart w:id="29" w:name="s4-conops"/>
    <w:p>
      <w:pPr>
        <w:pStyle w:val="Heading3"/>
      </w:pPr>
      <w:r>
        <w:t xml:space="preserve">S4 CONOPS</w:t>
      </w:r>
    </w:p>
    <w:p>
      <w:pPr>
        <w:pStyle w:val="FirstParagraph"/>
      </w:pPr>
      <w:r>
        <w:t xml:space="preserve">Layout: Before / During / After swim. Revision card in center: What changed? Why? Who authorized? What do I do now?</w:t>
      </w:r>
      <w:r>
        <w:br/>
      </w:r>
      <w:r>
        <w:t xml:space="preserve">Degraded-mode callout: cache last authorized plan + bridge to SMS/Sentinel. Do not rebuild Sentinel.</w:t>
      </w:r>
    </w:p>
    <w:bookmarkEnd w:id="29"/>
    <w:bookmarkStart w:id="30" w:name="s5-problem"/>
    <w:p>
      <w:pPr>
        <w:pStyle w:val="Heading3"/>
      </w:pPr>
      <w:r>
        <w:t xml:space="preserve">S5 Problem</w:t>
      </w:r>
    </w:p>
    <w:p>
      <w:pPr>
        <w:pStyle w:val="FirstParagraph"/>
      </w:pPr>
      <w:r>
        <w:t xml:space="preserve">Layout: problem statement · outcomes · four-line status-quo map (GridOS / Veoci / Sentinel / CrisisCommand) · none close the recipient chain.</w:t>
      </w:r>
    </w:p>
    <w:bookmarkEnd w:id="30"/>
    <w:bookmarkStart w:id="31" w:name="s6-product"/>
    <w:p>
      <w:pPr>
        <w:pStyle w:val="Heading3"/>
      </w:pPr>
      <w:r>
        <w:t xml:space="preserve">S6 Product</w:t>
      </w:r>
    </w:p>
    <w:p>
      <w:pPr>
        <w:pStyle w:val="FirstParagraph"/>
      </w:pPr>
      <w:r>
        <w:t xml:space="preserve">Diagram slide. Four layers stacked.</w:t>
      </w:r>
      <w:r>
        <w:br/>
      </w:r>
      <w:r>
        <w:t xml:space="preserve">Center spine, large:</w:t>
      </w:r>
      <w:r>
        <w:br/>
      </w:r>
      <w:r>
        <w:t xml:space="preserve">Requester → validation/entitlement → quantity → assignment → fulfillment → timestamp</w:t>
      </w:r>
      <w:r>
        <w:br/>
      </w:r>
      <w:r>
        <w:t xml:space="preserve">Do not draw a SITREP composer, HICS form, or notify composer as a DRS object.</w:t>
      </w:r>
    </w:p>
    <w:bookmarkEnd w:id="31"/>
    <w:bookmarkStart w:id="32" w:name="s7-personas-stories"/>
    <w:p>
      <w:pPr>
        <w:pStyle w:val="Heading3"/>
      </w:pPr>
      <w:r>
        <w:t xml:space="preserve">S7 Personas + stories</w:t>
      </w:r>
    </w:p>
    <w:p>
      <w:pPr>
        <w:pStyle w:val="FirstParagraph"/>
      </w:pPr>
      <w:r>
        <w:t xml:space="preserve">Three persona bands + principle</w:t>
      </w:r>
      <w:r>
        <w:t xml:space="preserve"> </w:t>
      </w:r>
      <w:r>
        <w:t xml:space="preserve">“</w:t>
      </w:r>
      <w:r>
        <w:t xml:space="preserve">AI recommends. Humans command.</w:t>
      </w:r>
      <w:r>
        <w:t xml:space="preserve">”</w:t>
      </w:r>
      <w:r>
        <w:br/>
      </w:r>
      <w:r>
        <w:t xml:space="preserve">Stories 1.0, 1.1, 1.2, 1.4, 1.5, 1.6, 2.0, 2.1, 3.0 from v0.5. Do not drop 1.4–1.6.</w:t>
      </w:r>
    </w:p>
    <w:bookmarkEnd w:id="32"/>
    <w:bookmarkStart w:id="33" w:name="s8-utility-industrial-vs-gridos"/>
    <w:p>
      <w:pPr>
        <w:pStyle w:val="Heading3"/>
      </w:pPr>
      <w:r>
        <w:t xml:space="preserve">S8 Utility / industrial vs GridOS</w:t>
      </w:r>
    </w:p>
    <w:p>
      <w:pPr>
        <w:pStyle w:val="FirstParagraph"/>
      </w:pPr>
      <w:r>
        <w:t xml:space="preserve">Split: NBA does | DRS adds | do not claim.</w:t>
      </w:r>
      <w:r>
        <w:br/>
      </w:r>
      <w:r>
        <w:t xml:space="preserve">Positioning line verbatim: GridOS operates the grid. DRS coordinates the crisis around it.</w:t>
      </w:r>
      <w:r>
        <w:br/>
      </w:r>
      <w:r>
        <w:t xml:space="preserve">Box: five Plant GM numbers.</w:t>
      </w:r>
      <w:r>
        <w:br/>
      </w:r>
      <w:r>
        <w:t xml:space="preserve">Value block uses two labels, not a single</w:t>
      </w:r>
      <w:r>
        <w:t xml:space="preserve"> </w:t>
      </w:r>
      <w:r>
        <w:t xml:space="preserve">“</w:t>
      </w:r>
      <w:r>
        <w:t xml:space="preserve">price.</w:t>
      </w:r>
      <w:r>
        <w:t xml:space="preserve">”</w:t>
      </w:r>
      <w:r>
        <w:br/>
      </w:r>
      <w:r>
        <w:t xml:space="preserve">ORNL figures in notes only, never as DRS savings.</w:t>
      </w:r>
    </w:p>
    <w:bookmarkEnd w:id="33"/>
    <w:bookmarkStart w:id="34" w:name="s9-healthcare-vs-veoci"/>
    <w:p>
      <w:pPr>
        <w:pStyle w:val="Heading3"/>
      </w:pPr>
      <w:r>
        <w:t xml:space="preserve">S9 Healthcare vs Veoci</w:t>
      </w:r>
    </w:p>
    <w:p>
      <w:pPr>
        <w:pStyle w:val="FirstParagraph"/>
      </w:pPr>
      <w:r>
        <w:t xml:space="preserve">NBA does | narrowed wedge (four bullets) | do not claim.</w:t>
      </w:r>
      <w:r>
        <w:br/>
      </w:r>
      <w:r>
        <w:t xml:space="preserve">Positioning line verbatim from v0.5.</w:t>
      </w:r>
      <w:r>
        <w:br/>
      </w:r>
      <w:r>
        <w:t xml:space="preserve">Value block: modeled $49k · 12% = $6k · DP hyp. $54k · list aspiration $90k.</w:t>
      </w:r>
      <w:r>
        <w:br/>
      </w:r>
      <w:r>
        <w:t xml:space="preserve">INTERNAL only: ~110% of modeled value.</w:t>
      </w:r>
    </w:p>
    <w:bookmarkEnd w:id="34"/>
    <w:bookmarkStart w:id="35" w:name="s10-campus-vs-sentinel"/>
    <w:p>
      <w:pPr>
        <w:pStyle w:val="Heading3"/>
      </w:pPr>
      <w:r>
        <w:t xml:space="preserve">S10 Campus vs Sentinel</w:t>
      </w:r>
    </w:p>
    <w:p>
      <w:pPr>
        <w:pStyle w:val="FirstParagraph"/>
      </w:pPr>
      <w:r>
        <w:t xml:space="preserve">NBA does | DRS adds | do not claim.</w:t>
      </w:r>
      <w:r>
        <w:br/>
      </w:r>
      <w:r>
        <w:t xml:space="preserve">Positioning line verbatim.</w:t>
      </w:r>
      <w:r>
        <w:br/>
      </w:r>
      <w:r>
        <w:t xml:space="preserve">Winter-freeze six questions on-slide.</w:t>
      </w:r>
      <w:r>
        <w:br/>
      </w:r>
      <w:r>
        <w:t xml:space="preserve">Sentinel price: G-Cloud £5,000/licence/year, context only.</w:t>
      </w:r>
      <w:r>
        <w:br/>
      </w:r>
      <w:r>
        <w:t xml:space="preserve">Value block: modeled $24k · 12% = $3k · DP $22k · aspiration $36k.</w:t>
      </w:r>
      <w:r>
        <w:br/>
      </w:r>
      <w:r>
        <w:t xml:space="preserve">INTERNAL only: ~92% of modeled value.</w:t>
      </w:r>
    </w:p>
    <w:bookmarkEnd w:id="35"/>
    <w:bookmarkStart w:id="36" w:name="s11-r-core"/>
    <w:p>
      <w:pPr>
        <w:pStyle w:val="Heading3"/>
      </w:pPr>
      <w:r>
        <w:t xml:space="preserve">S11 R-CORE</w:t>
      </w:r>
    </w:p>
    <w:p>
      <w:pPr>
        <w:pStyle w:val="FirstParagraph"/>
      </w:pPr>
      <w:r>
        <w:t xml:space="preserve">R-CORE logo, not DRS logo.</w:t>
      </w:r>
      <w:r>
        <w:br/>
      </w:r>
      <w:r>
        <w:t xml:space="preserve">Horizons verbatim:</w:t>
      </w:r>
      <w:r>
        <w:br/>
      </w:r>
      <w:r>
        <w:t xml:space="preserve">Baseline 2027 — coordination, allocation, provenance, recipient trace, degraded-mode cache</w:t>
      </w:r>
      <w:r>
        <w:br/>
      </w:r>
      <w:r>
        <w:t xml:space="preserve">2030 — cross-system replay, simulation, qualification, multi-event memory</w:t>
      </w:r>
      <w:r>
        <w:br/>
      </w:r>
      <w:r>
        <w:t xml:space="preserve">2525 — recursive continuity across institutions and generations</w:t>
      </w:r>
      <w:r>
        <w:br/>
      </w:r>
      <w:r>
        <w:t xml:space="preserve">Loop +</w:t>
      </w:r>
      <w:r>
        <w:t xml:space="preserve"> </w:t>
      </w:r>
      <w:r>
        <w:t xml:space="preserve">“</w:t>
      </w:r>
      <w:r>
        <w:t xml:space="preserve">Every crisis becomes evidence…</w:t>
      </w:r>
      <w:r>
        <w:t xml:space="preserve">”</w:t>
      </w:r>
      <w:r>
        <w:br/>
      </w:r>
      <w:r>
        <w:t xml:space="preserve">2525 is vision, not this year’s product.</w:t>
      </w:r>
    </w:p>
    <w:bookmarkEnd w:id="36"/>
    <w:bookmarkStart w:id="37" w:name="s12-competition"/>
    <w:p>
      <w:pPr>
        <w:pStyle w:val="Heading3"/>
      </w:pPr>
      <w:r>
        <w:t xml:space="preserve">S12 Competition</w:t>
      </w:r>
    </w:p>
    <w:p>
      <w:pPr>
        <w:pStyle w:val="FirstParagraph"/>
      </w:pPr>
      <w:r>
        <w:t xml:space="preserve">Three clusters + DRS position (high Y, high Z, rising X).</w:t>
      </w:r>
      <w:r>
        <w:br/>
      </w:r>
      <w:r>
        <w:t xml:space="preserve">Everbridge et al. in notes only.</w:t>
      </w:r>
    </w:p>
    <w:bookmarkEnd w:id="37"/>
    <w:bookmarkStart w:id="38" w:name="s13-value-equation"/>
    <w:p>
      <w:pPr>
        <w:pStyle w:val="Heading3"/>
      </w:pPr>
      <w:r>
        <w:t xml:space="preserve">S13 Value equation</w:t>
      </w:r>
    </w:p>
    <w:p>
      <w:pPr>
        <w:pStyle w:val="FirstParagraph"/>
      </w:pPr>
      <w:r>
        <w:t xml:space="preserve">INTERNAL: formula + the full seven-column tension table from v0.5.</w:t>
      </w:r>
      <w:r>
        <w:br/>
      </w:r>
      <w:r>
        <w:t xml:space="preserve">EXTERNAL: formula + [EXT:] sentence, no table.</w:t>
      </w:r>
    </w:p>
    <w:bookmarkEnd w:id="38"/>
    <w:bookmarkStart w:id="39" w:name="s14-wtp-commercial-model"/>
    <w:p>
      <w:pPr>
        <w:pStyle w:val="Heading3"/>
      </w:pPr>
      <w:r>
        <w:t xml:space="preserve">S14 WTP + commercial model</w:t>
      </w:r>
    </w:p>
    <w:p>
      <w:pPr>
        <w:pStyle w:val="FirstParagraph"/>
      </w:pPr>
      <w:r>
        <w:t xml:space="preserve">Four SKUs from v0.5. No 18% burst. Surge pack priced before the event.</w:t>
      </w:r>
      <w:r>
        <w:br/>
      </w:r>
      <w:r>
        <w:t xml:space="preserve">Outcome targets as printed.</w:t>
      </w:r>
    </w:p>
    <w:bookmarkEnd w:id="39"/>
    <w:bookmarkStart w:id="40" w:name="s15-three-resource-plans"/>
    <w:p>
      <w:pPr>
        <w:pStyle w:val="Heading3"/>
      </w:pPr>
      <w:r>
        <w:t xml:space="preserve">S15 Three resource plans</w:t>
      </w:r>
    </w:p>
    <w:p>
      <w:pPr>
        <w:pStyle w:val="FirstParagraph"/>
      </w:pPr>
      <w:r>
        <w:t xml:space="preserve">3-column table Conservative / Baseline / Aggressive. Include</w:t>
      </w:r>
      <w:r>
        <w:t xml:space="preserve"> </w:t>
      </w:r>
      <w:r>
        <w:t xml:space="preserve">“</w:t>
      </w:r>
      <w:r>
        <w:t xml:space="preserve">who may receive.</w:t>
      </w:r>
      <w:r>
        <w:t xml:space="preserve">”</w:t>
      </w:r>
      <w:r>
        <w:br/>
      </w:r>
      <w:r>
        <w:t xml:space="preserve">Caption: switch = new plan version. Provenance is the product.</w:t>
      </w:r>
    </w:p>
    <w:bookmarkEnd w:id="40"/>
    <w:bookmarkStart w:id="41" w:name="s16-validation-matrix"/>
    <w:p>
      <w:pPr>
        <w:pStyle w:val="Heading3"/>
      </w:pPr>
      <w:r>
        <w:t xml:space="preserve">S16 Validation matrix</w:t>
      </w:r>
    </w:p>
    <w:p>
      <w:pPr>
        <w:pStyle w:val="FirstParagraph"/>
      </w:pPr>
      <w:r>
        <w:t xml:space="preserve">Column headers from v0.5. Starter rows with empty Result.</w:t>
      </w:r>
      <w:r>
        <w:br/>
      </w:r>
      <w:r>
        <w:t xml:space="preserve">Caption: real ≠ hypothesized until one DP · one segment · one pre-registered metric.</w:t>
      </w:r>
    </w:p>
    <w:bookmarkEnd w:id="41"/>
    <w:bookmarkStart w:id="42" w:name="s17-financials"/>
    <w:p>
      <w:pPr>
        <w:pStyle w:val="Heading3"/>
      </w:pPr>
      <w:r>
        <w:t xml:space="preserve">S17 Financials</w:t>
      </w:r>
    </w:p>
    <w:p>
      <w:pPr>
        <w:pStyle w:val="FirstParagraph"/>
      </w:pPr>
      <w:r>
        <w:t xml:space="preserve">INTERNAL only full path.</w:t>
      </w:r>
      <w:r>
        <w:br/>
      </w:r>
      <w:r>
        <w:t xml:space="preserve">FY26 0 / −260 · FY27 95 / −765 · FY28 940 / +120 · FY29 2,390 / +1,410 ($k).</w:t>
      </w:r>
      <w:r>
        <w:br/>
      </w:r>
      <w:r>
        <w:t xml:space="preserve">NPV $0.16M · IRR ~20% · flag: path more aggressive than waterfalls justify.</w:t>
      </w:r>
      <w:r>
        <w:br/>
      </w:r>
      <w:r>
        <w:t xml:space="preserve">Market: 6,700 × $40k = $268M · ×25% = $67M SAM · Y3 SOM $1.85M.</w:t>
      </w:r>
      <w:r>
        <w:br/>
      </w:r>
      <w:r>
        <w:t xml:space="preserve">EXTERNAL: omit this slide’s cash and SAM method; keep one sentence that pricing is under validation. If that leaves the slide thin, collapse S17 EXTERNAL to a commercial-model recap of S14 only.</w:t>
      </w:r>
    </w:p>
    <w:bookmarkEnd w:id="42"/>
    <w:bookmarkStart w:id="43" w:name="s18-mvp-roadmap"/>
    <w:p>
      <w:pPr>
        <w:pStyle w:val="Heading3"/>
      </w:pPr>
      <w:r>
        <w:t xml:space="preserve">S18 MVP / roadmap</w:t>
      </w:r>
    </w:p>
    <w:p>
      <w:pPr>
        <w:pStyle w:val="FirstParagraph"/>
      </w:pPr>
      <w:r>
        <w:t xml:space="preserve">Three horizons mapped to MVP 1 / 2 / 3.</w:t>
      </w:r>
      <w:r>
        <w:br/>
      </w:r>
      <w:r>
        <w:t xml:space="preserve">MVP 1 in-scope includes cache + notify-channel bridge.</w:t>
      </w:r>
      <w:r>
        <w:br/>
      </w:r>
      <w:r>
        <w:t xml:space="preserve">Dates from v0.5.</w:t>
      </w:r>
      <w:r>
        <w:br/>
      </w:r>
      <w:r>
        <w:t xml:space="preserve">$620k envelope · $280k now.</w:t>
      </w:r>
    </w:p>
    <w:bookmarkEnd w:id="43"/>
    <w:bookmarkStart w:id="44" w:name="s19-risks-decision"/>
    <w:p>
      <w:pPr>
        <w:pStyle w:val="Heading3"/>
      </w:pPr>
      <w:r>
        <w:t xml:space="preserve">S19 Risks + decision</w:t>
      </w:r>
    </w:p>
    <w:p>
      <w:pPr>
        <w:pStyle w:val="FirstParagraph"/>
      </w:pPr>
      <w:r>
        <w:t xml:space="preserve">Risk table from v0.5 (top scores).</w:t>
      </w:r>
      <w:r>
        <w:br/>
      </w:r>
      <w:r>
        <w:t xml:space="preserve">Six-point ask.</w:t>
      </w:r>
      <w:r>
        <w:br/>
      </w:r>
      <w:r>
        <w:t xml:space="preserve">Gate-exit bullets.</w:t>
      </w:r>
      <w:r>
        <w:br/>
      </w:r>
      <w:r>
        <w:t xml:space="preserve">Master question bar, same words as S1.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46" w:name="speaker-notes-rule"/>
    <w:p>
      <w:pPr>
        <w:pStyle w:val="Heading2"/>
      </w:pPr>
      <w:r>
        <w:t xml:space="preserve">5. Speaker notes rule</w:t>
      </w:r>
    </w:p>
    <w:p>
      <w:pPr>
        <w:pStyle w:val="FirstParagraph"/>
      </w:pPr>
      <w:r>
        <w:t xml:space="preserve">Notes come from v0.4, shortened. Notes may include analogue prices and ORNL context. Notes may not introduce new dollars or new claims.</w:t>
      </w:r>
      <w:r>
        <w:br/>
      </w:r>
      <w:r>
        <w:t xml:space="preserve">Every numeric note starts with</w:t>
      </w:r>
      <w:r>
        <w:t xml:space="preserve"> </w:t>
      </w:r>
      <w:r>
        <w:t xml:space="preserve">“</w:t>
      </w:r>
      <w:r>
        <w:t xml:space="preserve">IA.</w:t>
      </w:r>
      <w:r>
        <w:t xml:space="preserve">”</w:t>
      </w:r>
    </w:p>
    <w:p>
      <w:r>
        <w:pict>
          <v:rect style="width:0;height:1.5pt" o:hralign="center" o:hrstd="t" o:hr="t"/>
        </w:pict>
      </w:r>
    </w:p>
    <w:bookmarkEnd w:id="46"/>
    <w:bookmarkStart w:id="47" w:name="visual-rules"/>
    <w:p>
      <w:pPr>
        <w:pStyle w:val="Heading2"/>
      </w:pPr>
      <w:r>
        <w:t xml:space="preserve">6. Visual rules</w:t>
      </w:r>
    </w:p>
    <w:p>
      <w:pPr>
        <w:numPr>
          <w:ilvl w:val="0"/>
          <w:numId w:val="1003"/>
        </w:numPr>
        <w:pStyle w:val="Compact"/>
      </w:pPr>
      <w:r>
        <w:t xml:space="preserve">16:9. One idea per slide. v0.5 is already slide-density; do not add paragraphs from v0.4 onto the canvas.</w:t>
      </w:r>
      <w:r>
        <w:br/>
      </w:r>
    </w:p>
    <w:p>
      <w:pPr>
        <w:numPr>
          <w:ilvl w:val="0"/>
          <w:numId w:val="1003"/>
        </w:numPr>
        <w:pStyle w:val="Compact"/>
      </w:pPr>
      <w:r>
        <w:t xml:space="preserve">Label every number</w:t>
      </w:r>
      <w:r>
        <w:t xml:space="preserve"> </w:t>
      </w:r>
      <w:r>
        <w:t xml:space="preserve">“</w:t>
      </w:r>
      <w:r>
        <w:t xml:space="preserve">IA.</w:t>
      </w:r>
      <w:r>
        <w:t xml:space="preserve">”</w:t>
      </w:r>
      <w:r>
        <w:br/>
      </w:r>
    </w:p>
    <w:p>
      <w:pPr>
        <w:numPr>
          <w:ilvl w:val="0"/>
          <w:numId w:val="1003"/>
        </w:numPr>
        <w:pStyle w:val="Compact"/>
      </w:pPr>
      <w:r>
        <w:t xml:space="preserve">S6 recipient chain and S11 horizons are diagram-first.</w:t>
      </w:r>
      <w:r>
        <w:br/>
      </w:r>
    </w:p>
    <w:p>
      <w:pPr>
        <w:numPr>
          <w:ilvl w:val="0"/>
          <w:numId w:val="1003"/>
        </w:numPr>
        <w:pStyle w:val="Compact"/>
      </w:pPr>
      <w:r>
        <w:t xml:space="preserve">Do not render images inside markdown-style tables as pictures of tables if a native table works.</w:t>
      </w:r>
      <w:r>
        <w:br/>
      </w:r>
    </w:p>
    <w:p>
      <w:pPr>
        <w:numPr>
          <w:ilvl w:val="0"/>
          <w:numId w:val="1003"/>
        </w:numPr>
        <w:pStyle w:val="Compact"/>
      </w:pPr>
      <w:r>
        <w:t xml:space="preserve">De-Risking Strategies identity on section opens. R-CORE logo only on S11.</w:t>
      </w:r>
      <w:r>
        <w:br/>
      </w:r>
    </w:p>
    <w:p>
      <w:pPr>
        <w:numPr>
          <w:ilvl w:val="0"/>
          <w:numId w:val="1003"/>
        </w:numPr>
        <w:pStyle w:val="Compact"/>
      </w:pPr>
      <w:r>
        <w:t xml:space="preserve">Do not use stock-photo</w:t>
      </w:r>
      <w:r>
        <w:t xml:space="preserve"> </w:t>
      </w:r>
      <w:r>
        <w:t xml:space="preserve">“</w:t>
      </w:r>
      <w:r>
        <w:t xml:space="preserve">crisis</w:t>
      </w:r>
      <w:r>
        <w:t xml:space="preserve">”</w:t>
      </w:r>
      <w:r>
        <w:t xml:space="preserve"> </w:t>
      </w:r>
      <w:r>
        <w:t xml:space="preserve">montage as an argument.</w:t>
      </w:r>
    </w:p>
    <w:p>
      <w:r>
        <w:pict>
          <v:rect style="width:0;height:1.5pt" o:hralign="center" o:hrstd="t" o:hr="t"/>
        </w:pict>
      </w:r>
    </w:p>
    <w:bookmarkEnd w:id="47"/>
    <w:bookmarkStart w:id="48" w:name="build-order"/>
    <w:p>
      <w:pPr>
        <w:pStyle w:val="Heading2"/>
      </w:pPr>
      <w:r>
        <w:t xml:space="preserve">7. Build order</w:t>
      </w:r>
    </w:p>
    <w:p>
      <w:pPr>
        <w:numPr>
          <w:ilvl w:val="0"/>
          <w:numId w:val="1004"/>
        </w:numPr>
        <w:pStyle w:val="Compact"/>
      </w:pPr>
      <w:r>
        <w:t xml:space="preserve">Read v0.5 end to end.</w:t>
      </w:r>
      <w:r>
        <w:br/>
      </w:r>
    </w:p>
    <w:p>
      <w:pPr>
        <w:numPr>
          <w:ilvl w:val="0"/>
          <w:numId w:val="1004"/>
        </w:numPr>
        <w:pStyle w:val="Compact"/>
      </w:pPr>
      <w:r>
        <w:t xml:space="preserve">Read this spec.</w:t>
      </w:r>
      <w:r>
        <w:br/>
      </w:r>
    </w:p>
    <w:p>
      <w:pPr>
        <w:numPr>
          <w:ilvl w:val="0"/>
          <w:numId w:val="1004"/>
        </w:numPr>
        <w:pStyle w:val="Compact"/>
      </w:pPr>
      <w:r>
        <w:t xml:space="preserve">Build INTERNAL 19 slides.</w:t>
      </w:r>
      <w:r>
        <w:br/>
      </w:r>
    </w:p>
    <w:p>
      <w:pPr>
        <w:numPr>
          <w:ilvl w:val="0"/>
          <w:numId w:val="1004"/>
        </w:numPr>
        <w:pStyle w:val="Compact"/>
      </w:pPr>
      <w:r>
        <w:t xml:space="preserve">Grep banned strings.</w:t>
      </w:r>
      <w:r>
        <w:br/>
      </w:r>
    </w:p>
    <w:p>
      <w:pPr>
        <w:numPr>
          <w:ilvl w:val="0"/>
          <w:numId w:val="1004"/>
        </w:numPr>
        <w:pStyle w:val="Compact"/>
      </w:pPr>
      <w:r>
        <w:t xml:space="preserve">Clone EXTERNAL. Apply [EXT:] and the removal table.</w:t>
      </w:r>
      <w:r>
        <w:br/>
      </w:r>
    </w:p>
    <w:p>
      <w:pPr>
        <w:numPr>
          <w:ilvl w:val="0"/>
          <w:numId w:val="1004"/>
        </w:numPr>
        <w:pStyle w:val="Compact"/>
      </w:pPr>
      <w:r>
        <w:t xml:space="preserve">Grep EXTERNAL for 110%, 92%, 53% capture,</w:t>
      </w:r>
      <w:r>
        <w:t xml:space="preserve"> </w:t>
      </w:r>
      <w:r>
        <w:t xml:space="preserve">“</w:t>
      </w:r>
      <w:r>
        <w:t xml:space="preserve">contribution-negative,</w:t>
      </w:r>
      <w:r>
        <w:t xml:space="preserve">”</w:t>
      </w:r>
      <w:r>
        <w:t xml:space="preserve"> </w:t>
      </w:r>
      <w:r>
        <w:t xml:space="preserve">NPV, IRR, SAM $67M. Those belong on INTERNAL only (SAM method may stay INTERNAL S17).</w:t>
      </w:r>
      <w:r>
        <w:br/>
      </w:r>
    </w:p>
    <w:p>
      <w:pPr>
        <w:numPr>
          <w:ilvl w:val="0"/>
          <w:numId w:val="1004"/>
        </w:numPr>
        <w:pStyle w:val="Compact"/>
      </w:pPr>
      <w:r>
        <w:t xml:space="preserve">Add provenance footer.</w:t>
      </w:r>
      <w:r>
        <w:br/>
      </w:r>
    </w:p>
    <w:p>
      <w:pPr>
        <w:numPr>
          <w:ilvl w:val="0"/>
          <w:numId w:val="1004"/>
        </w:numPr>
        <w:pStyle w:val="Compact"/>
      </w:pPr>
      <w:r>
        <w:t xml:space="preserve">Pack both pptx into PRJ-34 root.</w:t>
      </w:r>
      <w:r>
        <w:br/>
      </w:r>
    </w:p>
    <w:p>
      <w:pPr>
        <w:numPr>
          <w:ilvl w:val="0"/>
          <w:numId w:val="1004"/>
        </w:numPr>
        <w:pStyle w:val="Compact"/>
      </w:pPr>
      <w:r>
        <w:t xml:space="preserve">Stop. Do not revise waterfalls.</w:t>
      </w:r>
    </w:p>
    <w:p>
      <w:r>
        <w:pict>
          <v:rect style="width:0;height:1.5pt" o:hralign="center" o:hrstd="t" o:hr="t"/>
        </w:pict>
      </w:r>
    </w:p>
    <w:bookmarkEnd w:id="48"/>
    <w:bookmarkStart w:id="49" w:name="acceptance-test"/>
    <w:p>
      <w:pPr>
        <w:pStyle w:val="Heading2"/>
      </w:pPr>
      <w:r>
        <w:t xml:space="preserve">8. Acceptance test</w:t>
      </w:r>
    </w:p>
    <w:p>
      <w:pPr>
        <w:pStyle w:val="FirstParagraph"/>
      </w:pPr>
      <w:r>
        <w:t xml:space="preserve">INTERNAL pass when:</w:t>
      </w:r>
    </w:p>
    <w:p>
      <w:pPr>
        <w:numPr>
          <w:ilvl w:val="0"/>
          <w:numId w:val="1005"/>
        </w:numPr>
        <w:pStyle w:val="Compact"/>
      </w:pPr>
      <w:r>
        <w:t xml:space="preserve">19 slides, S1–S19 titles match v0.5</w:t>
      </w:r>
      <w:r>
        <w:br/>
      </w:r>
    </w:p>
    <w:p>
      <w:pPr>
        <w:numPr>
          <w:ilvl w:val="0"/>
          <w:numId w:val="1005"/>
        </w:numPr>
        <w:pStyle w:val="Compact"/>
      </w:pPr>
      <w:r>
        <w:t xml:space="preserve">Master question on S1 and S19, verbatim</w:t>
      </w:r>
      <w:r>
        <w:br/>
      </w:r>
    </w:p>
    <w:p>
      <w:pPr>
        <w:numPr>
          <w:ilvl w:val="0"/>
          <w:numId w:val="1005"/>
        </w:numPr>
        <w:pStyle w:val="Compact"/>
      </w:pPr>
      <w:r>
        <w:t xml:space="preserve">CrisisCommand = proposed complementary integration</w:t>
      </w:r>
      <w:r>
        <w:br/>
      </w:r>
    </w:p>
    <w:p>
      <w:pPr>
        <w:numPr>
          <w:ilvl w:val="0"/>
          <w:numId w:val="1005"/>
        </w:numPr>
        <w:pStyle w:val="Compact"/>
      </w:pPr>
      <w:r>
        <w:t xml:space="preserve">S6 shows the recipient chain</w:t>
      </w:r>
      <w:r>
        <w:br/>
      </w:r>
    </w:p>
    <w:p>
      <w:pPr>
        <w:numPr>
          <w:ilvl w:val="0"/>
          <w:numId w:val="1005"/>
        </w:numPr>
        <w:pStyle w:val="Compact"/>
      </w:pPr>
      <w:r>
        <w:t xml:space="preserve">S11 shows 2027 / 2030 / 2525 verbatim and R-CORE logo</w:t>
      </w:r>
      <w:r>
        <w:br/>
      </w:r>
    </w:p>
    <w:p>
      <w:pPr>
        <w:numPr>
          <w:ilvl w:val="0"/>
          <w:numId w:val="1005"/>
        </w:numPr>
        <w:pStyle w:val="Compact"/>
      </w:pPr>
      <w:r>
        <w:t xml:space="preserve">S13 shows both economic labels and the tension table</w:t>
      </w:r>
      <w:r>
        <w:br/>
      </w:r>
    </w:p>
    <w:p>
      <w:pPr>
        <w:numPr>
          <w:ilvl w:val="0"/>
          <w:numId w:val="1005"/>
        </w:numPr>
        <w:pStyle w:val="Compact"/>
      </w:pPr>
      <w:r>
        <w:t xml:space="preserve">NPV $0.16M, IRR ~20%, SAM $67M near-term</w:t>
      </w:r>
      <w:r>
        <w:br/>
      </w:r>
    </w:p>
    <w:p>
      <w:pPr>
        <w:numPr>
          <w:ilvl w:val="0"/>
          <w:numId w:val="1005"/>
        </w:numPr>
        <w:pStyle w:val="Compact"/>
      </w:pPr>
      <w:r>
        <w:t xml:space="preserve">CTS four totals present</w:t>
      </w:r>
      <w:r>
        <w:br/>
      </w:r>
    </w:p>
    <w:p>
      <w:pPr>
        <w:numPr>
          <w:ilvl w:val="0"/>
          <w:numId w:val="1005"/>
        </w:numPr>
        <w:pStyle w:val="Compact"/>
      </w:pPr>
      <w:r>
        <w:t xml:space="preserve">No banned strings</w:t>
      </w:r>
      <w:r>
        <w:br/>
      </w:r>
    </w:p>
    <w:p>
      <w:pPr>
        <w:numPr>
          <w:ilvl w:val="0"/>
          <w:numId w:val="1005"/>
        </w:numPr>
        <w:pStyle w:val="Compact"/>
      </w:pPr>
      <w:r>
        <w:t xml:space="preserve">Footer present on all slides</w:t>
      </w:r>
    </w:p>
    <w:p>
      <w:pPr>
        <w:pStyle w:val="FirstParagraph"/>
      </w:pPr>
      <w:r>
        <w:t xml:space="preserve">EXTERNAL pass when:</w:t>
      </w:r>
    </w:p>
    <w:p>
      <w:pPr>
        <w:numPr>
          <w:ilvl w:val="0"/>
          <w:numId w:val="1006"/>
        </w:numPr>
        <w:pStyle w:val="Compact"/>
      </w:pPr>
      <w:r>
        <w:t xml:space="preserve">Same operational story</w:t>
      </w:r>
      <w:r>
        <w:br/>
      </w:r>
    </w:p>
    <w:p>
      <w:pPr>
        <w:numPr>
          <w:ilvl w:val="0"/>
          <w:numId w:val="1006"/>
        </w:numPr>
        <w:pStyle w:val="Compact"/>
      </w:pPr>
      <w:r>
        <w:t xml:space="preserve">No tension table, no 110/92/53% capture callouts, no cash-path chips</w:t>
      </w:r>
      <w:r>
        <w:br/>
      </w:r>
    </w:p>
    <w:p>
      <w:pPr>
        <w:numPr>
          <w:ilvl w:val="0"/>
          <w:numId w:val="1006"/>
        </w:numPr>
        <w:pStyle w:val="Compact"/>
      </w:pPr>
      <w:r>
        <w:t xml:space="preserve">Pricing sentence is the [EXT:] line</w:t>
      </w:r>
      <w:r>
        <w:br/>
      </w:r>
    </w:p>
    <w:p>
      <w:pPr>
        <w:numPr>
          <w:ilvl w:val="0"/>
          <w:numId w:val="1006"/>
        </w:numPr>
        <w:pStyle w:val="Compact"/>
      </w:pPr>
      <w:r>
        <w:t xml:space="preserve">Still no banned strings</w:t>
      </w:r>
    </w:p>
    <w:p>
      <w:pPr>
        <w:pStyle w:val="FirstParagraph"/>
      </w:pPr>
      <w:r>
        <w:t xml:space="preserve">Fail if PRJ-31 product or financials appear anywhere.</w:t>
      </w:r>
    </w:p>
    <w:p>
      <w:r>
        <w:pict>
          <v:rect style="width:0;height:1.5pt" o:hralign="center" o:hrstd="t" o:hr="t"/>
        </w:pict>
      </w:r>
    </w:p>
    <w:bookmarkEnd w:id="49"/>
    <w:bookmarkStart w:id="50" w:name="if-something-is-missing"/>
    <w:p>
      <w:pPr>
        <w:pStyle w:val="Heading2"/>
      </w:pPr>
      <w:r>
        <w:t xml:space="preserve">9. If something is missing</w:t>
      </w:r>
    </w:p>
    <w:p>
      <w:pPr>
        <w:pStyle w:val="FirstParagraph"/>
      </w:pPr>
      <w:r>
        <w:t xml:space="preserve">If a logo, template .pptx, Polling.pdf, Resilience 2023 PDF, or VISION · 2525 is not in the workspace, build with a text placeholder (</w:t>
      </w:r>
      <w:r>
        <w:t xml:space="preserve">“</w:t>
      </w:r>
      <w:r>
        <w:t xml:space="preserve">R-CORE logo TK</w:t>
      </w:r>
      <w:r>
        <w:t xml:space="preserve">”</w:t>
      </w:r>
      <w:r>
        <w:t xml:space="preserve">) and list the gap. Do not scrape a new strategy to fill the hole. Do not download competitor marketing into the deck as if it were ours.</w:t>
      </w:r>
    </w:p>
    <w:p>
      <w:r>
        <w:pict>
          <v:rect style="width:0;height:1.5pt" o:hralign="center" o:hrstd="t" o:hr="t"/>
        </w:pict>
      </w:r>
    </w:p>
    <w:bookmarkEnd w:id="50"/>
    <w:bookmarkStart w:id="51" w:name="what-you-are-not-being-asked"/>
    <w:p>
      <w:pPr>
        <w:pStyle w:val="Heading2"/>
      </w:pPr>
      <w:r>
        <w:t xml:space="preserve">10. What you are not being asked</w:t>
      </w:r>
    </w:p>
    <w:p>
      <w:pPr>
        <w:numPr>
          <w:ilvl w:val="0"/>
          <w:numId w:val="1007"/>
        </w:numPr>
        <w:pStyle w:val="Compact"/>
      </w:pPr>
      <w:r>
        <w:t xml:space="preserve">Do not change DP prices or list aspirations.</w:t>
      </w:r>
      <w:r>
        <w:br/>
      </w:r>
    </w:p>
    <w:p>
      <w:pPr>
        <w:numPr>
          <w:ilvl w:val="0"/>
          <w:numId w:val="1007"/>
        </w:numPr>
        <w:pStyle w:val="Compact"/>
      </w:pPr>
      <w:r>
        <w:t xml:space="preserve">Do not add a fourth segment.</w:t>
      </w:r>
      <w:r>
        <w:br/>
      </w:r>
    </w:p>
    <w:p>
      <w:pPr>
        <w:numPr>
          <w:ilvl w:val="0"/>
          <w:numId w:val="1007"/>
        </w:numPr>
        <w:pStyle w:val="Compact"/>
      </w:pPr>
      <w:r>
        <w:t xml:space="preserve">Do not promote 2525 to a 2027 SKU.</w:t>
      </w:r>
      <w:r>
        <w:br/>
      </w:r>
    </w:p>
    <w:p>
      <w:pPr>
        <w:numPr>
          <w:ilvl w:val="0"/>
          <w:numId w:val="1007"/>
        </w:numPr>
        <w:pStyle w:val="Compact"/>
      </w:pPr>
      <w:r>
        <w:t xml:space="preserve">Do not write a new executive narrative.</w:t>
      </w:r>
      <w:r>
        <w:br/>
      </w:r>
    </w:p>
    <w:p>
      <w:pPr>
        <w:numPr>
          <w:ilvl w:val="0"/>
          <w:numId w:val="1007"/>
        </w:numPr>
        <w:pStyle w:val="Compact"/>
      </w:pPr>
      <w:r>
        <w:t xml:space="preserve">Do not reconcile modeled value to DP price by inflating formulas.</w:t>
      </w:r>
    </w:p>
    <w:p>
      <w:pPr>
        <w:pStyle w:val="FirstParagraph"/>
      </w:pPr>
      <w:r>
        <w:t xml:space="preserve">Build the slides. Leave the gate decision to HI.</w:t>
      </w:r>
    </w:p>
    <w:bookmarkEnd w:id="51"/>
    <w:bookmarkEnd w:id="5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2026-09-24T01:00:21Z</dcterms:created>
  <dcterms:modified xsi:type="dcterms:W3CDTF">2026-09-24T01:00:21Z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