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aude-code-upload-brief"/>
    <w:p>
      <w:pPr>
        <w:pStyle w:val="Heading1"/>
      </w:pPr>
      <w:r>
        <w:t xml:space="preserve">Claude Code — upload brief</w:t>
      </w:r>
    </w:p>
    <w:bookmarkEnd w:id="20"/>
    <w:bookmarkStart w:id="21" w:name="create-file-as-project-34-prj-34"/>
    <w:p>
      <w:pPr>
        <w:pStyle w:val="Heading1"/>
      </w:pPr>
      <w:r>
        <w:t xml:space="preserve">Create / file as Project 34 (PRJ-34)</w:t>
      </w:r>
    </w:p>
    <w:bookmarkEnd w:id="21"/>
    <w:bookmarkStart w:id="22" w:name="de-risking-strategies-crisis-resilience"/>
    <w:p>
      <w:pPr>
        <w:pStyle w:val="Heading1"/>
      </w:pPr>
      <w:r>
        <w:t xml:space="preserve">De-Risking Strategies · Crisis + Resilience</w:t>
      </w:r>
    </w:p>
    <w:bookmarkEnd w:id="22"/>
    <w:bookmarkStart w:id="28" w:name="september-2026"/>
    <w:p>
      <w:pPr>
        <w:pStyle w:val="Heading1"/>
      </w:pPr>
      <w:r>
        <w:t xml:space="preserve">23 September 2026</w:t>
      </w:r>
    </w:p>
    <w:bookmarkStart w:id="23" w:name="what-to-do"/>
    <w:p>
      <w:pPr>
        <w:pStyle w:val="Heading2"/>
      </w:pPr>
      <w:r>
        <w:t xml:space="preserve">What to do</w:t>
      </w:r>
    </w:p>
    <w:p>
      <w:pPr>
        <w:pStyle w:val="FirstParagraph"/>
      </w:pPr>
      <w:r>
        <w:t xml:space="preserve">Create a new project in the working workspace titled:</w:t>
      </w:r>
    </w:p>
    <w:p>
      <w:pPr>
        <w:pStyle w:val="BodyText"/>
      </w:pPr>
      <w:r>
        <w:rPr>
          <w:bCs/>
          <w:b/>
        </w:rPr>
        <w:t xml:space="preserve">PRJ-34 De-Risking Strategies — Crisis + Resilience</w:t>
      </w:r>
    </w:p>
    <w:p>
      <w:pPr>
        <w:pStyle w:val="BodyText"/>
      </w:pPr>
      <w:r>
        <w:t xml:space="preserve">Upload the files listed below. Do not rewrite them. Do not merge them into PRJ-31. Do not import Sovereign Deep-Strike Datalink financials.</w:t>
      </w:r>
    </w:p>
    <w:p>
      <w:pPr>
        <w:pStyle w:val="BodyText"/>
      </w:pPr>
      <w:r>
        <w:t xml:space="preserve">If the environment uses a project registry, set: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PRJ-34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De-Risking Strategies — Crisis + Resilience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eXeL AI Polling / Gate Review S1–S19 (layout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frozen. Visual deck next.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Customer, competitive, cost, or implementation evidence only</w:t>
            </w:r>
          </w:p>
        </w:tc>
      </w:tr>
    </w:tbl>
    <w:bookmarkEnd w:id="23"/>
    <w:bookmarkStart w:id="24" w:name="files-to-upload-authoritative"/>
    <w:p>
      <w:pPr>
        <w:pStyle w:val="Heading2"/>
      </w:pPr>
      <w:r>
        <w:t xml:space="preserve">Files to upload (authoritative)</w:t>
      </w:r>
    </w:p>
    <w:p>
      <w:pPr>
        <w:pStyle w:val="FirstParagraph"/>
      </w:pPr>
      <w:r>
        <w:t xml:space="preserve">Upload these artifacts as the project corpus, in this order: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PRJ-34_Contribution_Ledger.md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 — attribution record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DRS_Crisis_Resilience_Full_Text_Writeup_v0.4.md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 — canonical strategy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DRS_Crisis_Resilience_S1-S19_Slide_Manuscript_v0.5.md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 — slide text to build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eXeL AI Polling.pdf</w:t>
      </w:r>
      <w:r>
        <w:t xml:space="preserve"> </w:t>
      </w:r>
      <w:r>
        <w:t xml:space="preserve">— S1–S19 layout reference only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01.1_DRS_ProjectResilience_Market Landscape + Needs_2026.12.06.pdf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2023.12.06</w:t>
      </w:r>
      <w:r>
        <w:t xml:space="preserve"> </w:t>
      </w:r>
      <w:r>
        <w:t xml:space="preserve">— lineage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VISION · 2525 if available — R-CORE doctrine</w:t>
      </w:r>
    </w:p>
    <w:p>
      <w:pPr>
        <w:pStyle w:val="FirstParagraph"/>
      </w:pPr>
      <w:r>
        <w:t xml:space="preserve">Optional, archive only, not current:</w:t>
      </w:r>
    </w:p>
    <w:p>
      <w:pPr>
        <w:numPr>
          <w:ilvl w:val="0"/>
          <w:numId w:val="1002"/>
        </w:numPr>
        <w:pStyle w:val="Compact"/>
      </w:pPr>
      <w:r>
        <w:t xml:space="preserve">v0.3 writeup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Claude Code delta vs eXeL assessment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Initial-assessments no-blanks memo</w:t>
      </w:r>
    </w:p>
    <w:p>
      <w:pPr>
        <w:pStyle w:val="FirstParagraph"/>
      </w:pPr>
      <w:r>
        <w:t xml:space="preserve">Do not upload Ad-Fusion as product content.</w:t>
      </w:r>
    </w:p>
    <w:bookmarkEnd w:id="24"/>
    <w:bookmarkStart w:id="25" w:name="project-readme-to-write-inside-prj-34"/>
    <w:p>
      <w:pPr>
        <w:pStyle w:val="Heading2"/>
      </w:pPr>
      <w:r>
        <w:t xml:space="preserve">Project README to write inside PRJ-34</w:t>
      </w:r>
    </w:p>
    <w:p>
      <w:pPr>
        <w:pStyle w:val="SourceCode"/>
      </w:pPr>
      <w:r>
        <w:rPr>
          <w:rStyle w:val="VerbatimChar"/>
        </w:rPr>
        <w:t xml:space="preserve">PRJ-34 De-Risking Strategies — Crisis + Resilience</w:t>
      </w:r>
      <w:r>
        <w:br/>
      </w:r>
      <w:r>
        <w:rPr>
          <w:rStyle w:val="VerbatimChar"/>
        </w:rPr>
        <w:t xml:space="preserve">Stage: G2 Plan</w:t>
      </w:r>
      <w:r>
        <w:br/>
      </w:r>
      <w:r>
        <w:rPr>
          <w:rStyle w:val="VerbatimChar"/>
        </w:rPr>
        <w:t xml:space="preserve">Ask: Approve G2. Release $280k of $620k MVP 1. First paid design partner 2027-Q3.</w:t>
      </w:r>
      <w:r>
        <w:br/>
      </w:r>
      <w:r>
        <w:br/>
      </w:r>
      <w:r>
        <w:rPr>
          <w:rStyle w:val="VerbatimChar"/>
        </w:rPr>
        <w:t xml:space="preserve">Canonical strategy: v0.4</w:t>
      </w:r>
      <w:r>
        <w:br/>
      </w:r>
      <w:r>
        <w:rPr>
          <w:rStyle w:val="VerbatimChar"/>
        </w:rPr>
        <w:t xml:space="preserve">Slide source: v0.5</w:t>
      </w:r>
      <w:r>
        <w:br/>
      </w:r>
      <w:r>
        <w:rPr>
          <w:rStyle w:val="VerbatimChar"/>
        </w:rPr>
        <w:t xml:space="preserve">Contribution ledger: PRJ-34_Contribution_Ledger</w:t>
      </w:r>
      <w:r>
        <w:br/>
      </w:r>
      <w:r>
        <w:br/>
      </w:r>
      <w:r>
        <w:rPr>
          <w:rStyle w:val="VerbatimChar"/>
        </w:rPr>
        <w:t xml:space="preserve">CrisisCommand is a proposed complementary integration, not a partnership.</w:t>
      </w:r>
      <w:r>
        <w:br/>
      </w:r>
      <w:r>
        <w:rPr>
          <w:rStyle w:val="VerbatimChar"/>
        </w:rPr>
        <w:t xml:space="preserve">R-CORE is architecture. SKU name: Replay + Readiness — powered by R-CORE.</w:t>
      </w:r>
      <w:r>
        <w:br/>
      </w:r>
      <w:r>
        <w:rPr>
          <w:rStyle w:val="VerbatimChar"/>
        </w:rPr>
        <w:t xml:space="preserve">NBA pairs: Utility/Industrial ↔ GridOS · Healthcare ↔ Veoci Vitals EM · Campus ↔ YUDU Sentinel.</w:t>
      </w:r>
      <w:r>
        <w:br/>
      </w:r>
      <w:r>
        <w:br/>
      </w:r>
      <w:r>
        <w:rPr>
          <w:rStyle w:val="VerbatimChar"/>
        </w:rPr>
        <w:t xml:space="preserve">Two economic statements stay separate:</w:t>
      </w:r>
      <w:r>
        <w:br/>
      </w:r>
      <w:r>
        <w:rPr>
          <w:rStyle w:val="VerbatimChar"/>
        </w:rPr>
        <w:t xml:space="preserve">- Modeled Value → Evidence-Based Capture Range</w:t>
      </w:r>
      <w:r>
        <w:br/>
      </w:r>
      <w:r>
        <w:rPr>
          <w:rStyle w:val="VerbatimChar"/>
        </w:rPr>
        <w:t xml:space="preserve">- Design-Partner WTP Hypothesis → To Be Tested</w:t>
      </w:r>
      <w:r>
        <w:br/>
      </w:r>
      <w:r>
        <w:br/>
      </w:r>
      <w:r>
        <w:rPr>
          <w:rStyle w:val="VerbatimChar"/>
        </w:rPr>
        <w:t xml:space="preserve">Internal deck shows contribution tension.</w:t>
      </w:r>
      <w:r>
        <w:br/>
      </w:r>
      <w:r>
        <w:rPr>
          <w:rStyle w:val="VerbatimChar"/>
        </w:rPr>
        <w:t xml:space="preserve">External deck does not.</w:t>
      </w:r>
      <w:r>
        <w:br/>
      </w:r>
      <w:r>
        <w:br/>
      </w:r>
      <w:r>
        <w:rPr>
          <w:rStyle w:val="VerbatimChar"/>
        </w:rPr>
        <w:t xml:space="preserve">Provenance:</w:t>
      </w:r>
      <w:r>
        <w:br/>
      </w:r>
      <w:r>
        <w:rPr>
          <w:rStyle w:val="VerbatimChar"/>
        </w:rPr>
        <w:t xml:space="preserve">Human-authored strategy · AI-assisted synthesis by eXeL AI · cross-review informed by Grok · final authority: De-Risking Strategies</w:t>
      </w:r>
      <w:r>
        <w:br/>
      </w:r>
      <w:r>
        <w:br/>
      </w:r>
      <w:r>
        <w:rPr>
          <w:rStyle w:val="VerbatimChar"/>
        </w:rPr>
        <w:t xml:space="preserve">Next work: build INTERNAL 19-slide deck from v0.5, then EXTERNAL twin using [EXT:] lines.</w:t>
      </w:r>
      <w:r>
        <w:br/>
      </w:r>
      <w:r>
        <w:rPr>
          <w:rStyle w:val="VerbatimChar"/>
        </w:rPr>
        <w:t xml:space="preserve">Do not iterate strategy from model commentary.</w:t>
      </w:r>
    </w:p>
    <w:bookmarkEnd w:id="25"/>
    <w:bookmarkStart w:id="26" w:name="after-upload"/>
    <w:p>
      <w:pPr>
        <w:pStyle w:val="Heading2"/>
      </w:pPr>
      <w:r>
        <w:t xml:space="preserve">After upload</w:t>
      </w:r>
    </w:p>
    <w:p>
      <w:pPr>
        <w:numPr>
          <w:ilvl w:val="0"/>
          <w:numId w:val="1003"/>
        </w:numPr>
        <w:pStyle w:val="Compact"/>
      </w:pPr>
      <w:r>
        <w:t xml:space="preserve">Confirm PRJ-34 exists and is distinct from PRJ-31.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Confirm v0.5 is the only slide-build source.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Confirm the contribution ledger is in the project root.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Do not start rewriting S8–S10 waterfalls.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If asked to build slides, follow</w:t>
      </w:r>
      <w:r>
        <w:t xml:space="preserve"> </w:t>
      </w:r>
      <w:r>
        <w:rPr>
          <w:rStyle w:val="VerbatimChar"/>
        </w:rPr>
        <w:t xml:space="preserve">DRS_Crisis_Resilience_S1-S19_Slide_Manuscript_v0.5</w:t>
      </w:r>
      <w:r>
        <w:t xml:space="preserve"> </w:t>
      </w:r>
      <w:r>
        <w:t xml:space="preserve">exactly.</w:t>
      </w:r>
    </w:p>
    <w:bookmarkEnd w:id="26"/>
    <w:bookmarkStart w:id="27" w:name="acceptance-test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PRJ-34 is correctly filed when:</w:t>
      </w:r>
    </w:p>
    <w:p>
      <w:pPr>
        <w:numPr>
          <w:ilvl w:val="0"/>
          <w:numId w:val="1004"/>
        </w:numPr>
        <w:pStyle w:val="Compact"/>
      </w:pPr>
      <w:r>
        <w:t xml:space="preserve">Project ID is 34, not 31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v0.4, v0.5, and this ledger are all present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Provenance footer matches the line above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No PRJ-31 NPV / IRR / SAM figures appear in PRJ-34 notes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2026-09-24T00:45:04Z</dcterms:created>
  <dcterms:modified xsi:type="dcterms:W3CDTF">2026-09-24T00:45:04Z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