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j-34-contribution-ledger"/>
    <w:p>
      <w:pPr>
        <w:pStyle w:val="Heading1"/>
      </w:pPr>
      <w:r>
        <w:t xml:space="preserve">PRJ-34 — Contribution ledger</w:t>
      </w:r>
    </w:p>
    <w:bookmarkStart w:id="21" w:name="de-risking-strategies-crisis-resilience"/>
    <w:p>
      <w:pPr>
        <w:pStyle w:val="Heading2"/>
      </w:pPr>
      <w:r>
        <w:t xml:space="preserve">De-Risking Strategies · Crisis + Resilience</w:t>
      </w:r>
    </w:p>
    <w:bookmarkStart w:id="20" w:name="frozen-23-september-2026"/>
    <w:p>
      <w:pPr>
        <w:pStyle w:val="Heading3"/>
      </w:pPr>
      <w:r>
        <w:t xml:space="preserve">Frozen 23 September 2026</w:t>
      </w:r>
    </w:p>
    <w:p>
      <w:pPr>
        <w:pStyle w:val="FirstParagraph"/>
      </w:pPr>
      <w:r>
        <w:t xml:space="preserve">This file is the official attribution record for PRJ-34.</w:t>
      </w:r>
      <w:r>
        <w:br/>
      </w:r>
      <w:r>
        <w:t xml:space="preserve">It does not certify the business case. It records who led which load.</w:t>
      </w:r>
    </w:p>
    <w:p>
      <w:pPr>
        <w:pStyle w:val="BodyText"/>
      </w:pPr>
      <w:r>
        <w:rPr>
          <w:bCs/>
          <w:b/>
        </w:rPr>
        <w:t xml:space="preserve">Provenance (use on every PRJ-34 artifact)</w:t>
      </w:r>
      <w:r>
        <w:br/>
      </w:r>
      <w:r>
        <w:t xml:space="preserve">Human-authored strategy · AI-assisted synthesis by eXeL AI · cross-review informed by Grok · final authority: De-Risking Strategies</w:t>
      </w:r>
    </w:p>
    <w:p>
      <w:pPr>
        <w:pStyle w:val="BodyText"/>
      </w:pPr>
      <w:r>
        <w:rPr>
          <w:bCs/>
          <w:b/>
        </w:rPr>
        <w:t xml:space="preserve">Canonical files</w:t>
      </w:r>
      <w:r>
        <w:br/>
      </w:r>
      <w:r>
        <w:t xml:space="preserve">- Strategy parent:</w:t>
      </w:r>
      <w:r>
        <w:t xml:space="preserve"> </w:t>
      </w:r>
      <w:r>
        <w:rPr>
          <w:rStyle w:val="VerbatimChar"/>
        </w:rPr>
        <w:t xml:space="preserve">DRS_Crisis_Resilience_Full_Text_Writeup_v0.4</w:t>
      </w:r>
      <w:r>
        <w:br/>
      </w:r>
      <w:r>
        <w:t xml:space="preserve">- Slide source:</w:t>
      </w:r>
      <w:r>
        <w:t xml:space="preserve"> </w:t>
      </w:r>
      <w:r>
        <w:rPr>
          <w:rStyle w:val="VerbatimChar"/>
        </w:rPr>
        <w:t xml:space="preserve">DRS_Crisis_Resilience_S1-S19_Slide_Manuscript_v0.5</w:t>
      </w:r>
      <w:r>
        <w:br/>
      </w:r>
      <w:r>
        <w:t xml:space="preserve">- This ledger:</w:t>
      </w:r>
      <w:r>
        <w:t xml:space="preserve"> </w:t>
      </w:r>
      <w:r>
        <w:rPr>
          <w:rStyle w:val="VerbatimChar"/>
        </w:rPr>
        <w:t xml:space="preserve">PRJ-34_Contribution_Ledger</w:t>
      </w:r>
    </w:p>
    <w:p>
      <w:pPr>
        <w:pStyle w:val="BodyText"/>
      </w:pPr>
      <w:r>
        <w:rPr>
          <w:bCs/>
          <w:b/>
        </w:rPr>
        <w:t xml:space="preserve">Change rule</w:t>
      </w:r>
      <w:r>
        <w:br/>
      </w:r>
      <w:r>
        <w:t xml:space="preserve">Do not edit this ledger unless HI directs. Further product changes require customer, competitive, cost, or implementation evidence — not another AI review.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erarchy"/>
    <w:p>
      <w:pPr>
        <w:pStyle w:val="Heading2"/>
      </w:pPr>
      <w:r>
        <w:t xml:space="preserve">Hierarchy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Originating concept, operating judgment, segments, crisis scenarios, authority philosophy, resource-allocation model, final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De-Risking Strategies / 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method, WTP vs CTS, industrial subcase, recipient loop, R-CORE vs SKU, 2027/2030/2525, degraded comms, formula discipline, arithmetic audit, internal vs external, S16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contributor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research, NBA fences, first manuscript, first filled economics, object ownership, turning revisions into canonical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contributor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(HI + eXeL AI + 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Neither AI certifies NPV, WTP, SAM, or product readiness.</w:t>
      </w:r>
    </w:p>
    <w:p>
      <w:r>
        <w:pict>
          <v:rect style="width:0;height:1.5pt" o:hralign="center" o:hrstd="t" o:hr="t"/>
        </w:pict>
      </w:r>
    </w:p>
    <w:bookmarkEnd w:id="22"/>
    <w:bookmarkStart w:id="23" w:name="primary-load-matrix-frozen"/>
    <w:p>
      <w:pPr>
        <w:pStyle w:val="Heading2"/>
      </w:pPr>
      <w:r>
        <w:t xml:space="preserve">Primary-load matrix (frozen)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/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NBA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Tighten /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manuscript + first filled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/ reconcile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/ needs-based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WTP vs 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economic subcase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 traceability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R-CORE product vs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/ 2030 / 2525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Degraded-communications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Auditable value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dollar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arithmetic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vs external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S16 validation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formalization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Turning revisions into canonical manuscripts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/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rea-ledger-frozen"/>
    <w:p>
      <w:pPr>
        <w:pStyle w:val="Heading2"/>
      </w:pPr>
      <w:r>
        <w:t xml:space="preserve">Area ledger (frozen)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concept into a Gate manuscript with IA treatment of unvalidated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to Stage-Gate / needs-based method; refused Maximize-clone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Plan. $280k of $620k. First paid DP 2027-Q3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NBA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Formalized Utility↔GridOS, Healthcare↔Veoci, Campus↔Sentinel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Segment-specific Need → NBA → differentiators → outcome → WTP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chain per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honesty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NBA is stronger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Do not claim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only where existing systems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GridOS = grid ops. Veoci = HICS / intra-health. Sentinel = notify. DRS = incremental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Separated CC objects from DRS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Partnered</w:t>
            </w:r>
            <w:r>
              <w:t xml:space="preserve">”</w:t>
            </w:r>
            <w:r>
              <w:t xml:space="preserve"> </w:t>
            </w:r>
            <w:r>
              <w:t xml:space="preserve">→ proposed complementary integration; no assumed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Think/Command = proposed integration. DRS = Coordinate/Allocate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DRS 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Roster, needs, non-specialist resources, assignments, fulfillment, plan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beneficiary trace + minimum-necessary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→ validation/entitlement → quantity → assignment → fulfillment →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Rank, role-limited public view, humans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to a defended 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six defended differentiators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eXeL Collective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/ concern clustering as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to command, never a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≠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Replay, operational truth, sim, qualify, 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not app or SKU. Name: Replay + Readiness — powered by R-CORE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≠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R-CORE to future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2027 → 2030 → 2525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product · 2030 gated roadmap · 2525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/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/ GridOS proposition and first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Petrochem / manufacturing economic subcase; not a fourth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need, two economies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Operational-impact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Plant GM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$/hour interruption · min sustainable output · safe-state time · backup duration · staff/access/fuel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Veoci compare + regional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Narrowed after Veoci already coordinates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non-clinical exchange + public card + cross-org authority +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compare + winter-freeze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rebuild notify/offline; bridge into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notifies and convenes. DRS fulfills and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Degraded 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comms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Last-authorized-plan + assignment cache + SMS/Sentinel bridge in MVP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does not assume broadband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resource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/ Baseline / Aggressive +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switch = provenance +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are not the product; provenance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WTP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waterfalls, capture bands, DP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modeled value ≠ desired price; keep tension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 Value → Evidence-Based Capture Range vs DP WTP Hypothesis → To Be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Value-equation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dollar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 × unit × Δ vs NBA × freq × confidence 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metric, no waterfall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CTS /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Commercial-model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WTP − CTS =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$16k · Health $39k · Utility comm. $53k · Industrial $59k (IA)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Event-burst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Pre-purchased surge pack; price known before the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crisis-time surcharge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NPV / IRR /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 $0.16M · IRR ~20% · universe $268M · near-term SAM $67M. 14% and $220M retired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Veoci, Everbridge, Sentinel, GridOS analogues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vs historical Sentinel; analogue ≠ WTP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G-Cloud £5,000/licence/year context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probes; pilot beside NBA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S16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→ NBA → hypothesis → metric → baseline → target → $ → source → result → pursue/pivot/pass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Deck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gate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tension vs external operational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 INTERNAL + [EXT:] twin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identity, panic, integration, NBA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comms, WTP mismatch, CC relationship/certification, AI-command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Gate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in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· 2525 / R-CORE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recommends. Authorized humans retain command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ne-line-loads"/>
    <w:p>
      <w:pPr>
        <w:pStyle w:val="Heading2"/>
      </w:pPr>
      <w:r>
        <w:t xml:space="preserve">One-line loads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Grok:</w:t>
      </w:r>
      <w:r>
        <w:t xml:space="preserve"> </w:t>
      </w:r>
      <w:r>
        <w:t xml:space="preserve">research, object boundaries, first filled numbers, turning commentary into manuscripts.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eXeL AI:</w:t>
      </w:r>
      <w:r>
        <w:t xml:space="preserve"> </w:t>
      </w:r>
      <w:r>
        <w:t xml:space="preserve">gate method, WTP/CTS, industrial subcase, recipient loop, formula discipline, arithmetic correction, internal/external split, freeze discipline.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De-Risking Strategies / HI:</w:t>
      </w:r>
      <w:r>
        <w:t xml:space="preserve"> </w:t>
      </w:r>
      <w:r>
        <w:t xml:space="preserve">originating concept and final authority.</w:t>
      </w:r>
    </w:p>
    <w:p>
      <w:r>
        <w:pict>
          <v:rect style="width:0;height:1.5pt" o:hralign="center" o:hrstd="t" o:hr="t"/>
        </w:pict>
      </w:r>
    </w:p>
    <w:bookmarkEnd w:id="25"/>
    <w:bookmarkStart w:id="26" w:name="files-to-bind-under-prj-34"/>
    <w:p>
      <w:pPr>
        <w:pStyle w:val="Heading2"/>
      </w:pPr>
      <w:r>
        <w:t xml:space="preserve">Files to bind under PRJ-34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DRS_Crisis_Resilience_Full_Text_Writeup_v0.4.md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strategy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DRS_Crisis_Resilience_S1-S19_Slide_Manuscript_v0.5.md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slide-density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PRJ-34_Contribution_Ledger.md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eXeL AI Polling / Gate Review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only — do not import PRJ-31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Resilience 2023 Market Landscape +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/ CONOPS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· 2525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R-CORE doctrine</w:t>
            </w:r>
          </w:p>
        </w:tc>
      </w:tr>
    </w:tbl>
    <w:p>
      <w:pPr>
        <w:pStyle w:val="BodyText"/>
      </w:pPr>
      <w:r>
        <w:t xml:space="preserve">Do not bind v0.3 as current. Do not bind the Ad-Fusion deck as product content.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2026-09-24T00:45:04Z</dcterms:created>
  <dcterms:modified xsi:type="dcterms:W3CDTF">2026-09-24T00:45:04Z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