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3A5F"/>
          <w:sz w:val="32"/>
        </w:rPr>
        <w:t>Riga Nordic University</w:t>
      </w:r>
    </w:p>
    <w:p>
      <w:pPr>
        <w:jc w:val="center"/>
      </w:pPr>
      <w:r>
        <w:t>Department of Natural Sciences and Information Technologies</w:t>
      </w:r>
    </w:p>
    <w:p>
      <w:pPr>
        <w:spacing w:before="120"/>
        <w:jc w:val="center"/>
      </w:pPr>
      <w:r>
        <w:rPr>
          <w:color w:val="555555"/>
          <w:sz w:val="24"/>
        </w:rPr>
        <w:t>Programming for Data Science · Mini Project Report</w:t>
      </w:r>
    </w:p>
    <w:p>
      <w:pPr>
        <w:pStyle w:val="Title"/>
        <w:spacing w:before="1200"/>
        <w:jc w:val="center"/>
      </w:pPr>
      <w:r>
        <w:t>Student AI-Use &amp; Cognitive Offloading Analytics</w:t>
      </w:r>
    </w:p>
    <w:p>
      <w:pPr>
        <w:spacing w:after="1000"/>
        <w:jc w:val="center"/>
      </w:pPr>
      <w:r>
        <w:rPr>
          <w:i/>
          <w:sz w:val="26"/>
        </w:rPr>
        <w:t>A data-science decision-support system for monitoring AI-based cognitive offloading, attention and critical thinking in grades 8–9</w:t>
      </w:r>
    </w:p>
    <w:tbl>
      <w:tblPr>
        <w:tblStyle w:val="TableGrid"/>
        <w:tblW w:type="auto" w:w="0"/>
        <w:jc w:val="center"/>
        <w:tblLook w:firstColumn="1" w:firstRow="1" w:lastColumn="0" w:lastRow="0" w:noHBand="0" w:noVBand="1" w:val="04A0"/>
      </w:tblPr>
      <w:tblGrid>
        <w:gridCol w:w="2835"/>
        <w:gridCol w:w="6237"/>
      </w:tblGrid>
      <w:tr>
        <w:tc>
          <w:tcPr>
            <w:tcW w:type="dxa" w:w="2835"/>
            <w:shd w:val="clear" w:color="auto" w:fill="F3F6FA"/>
          </w:tcPr>
          <w:p>
            <w:pPr>
              <w:spacing w:after="20" w:line="240" w:lineRule="auto"/>
            </w:pPr>
            <w:r>
              <w:rPr>
                <w:b/>
                <w:sz w:val="21"/>
              </w:rPr>
              <w:t>Project Title</w:t>
            </w:r>
          </w:p>
        </w:tc>
        <w:tc>
          <w:tcPr>
            <w:tcW w:type="dxa" w:w="6236"/>
            <w:shd w:val="clear" w:color="auto" w:fill="F3F6FA"/>
          </w:tcPr>
          <w:p>
            <w:pPr>
              <w:spacing w:after="20" w:line="240" w:lineRule="auto"/>
            </w:pPr>
            <w:r>
              <w:rPr>
                <w:sz w:val="21"/>
              </w:rPr>
              <w:t>Student AI-Use &amp; Cognitive Offloading Analytics: a data-science system for attention and critical-thinking risk screening in a Latvian international school</w:t>
            </w:r>
          </w:p>
        </w:tc>
      </w:tr>
      <w:tr>
        <w:tc>
          <w:tcPr>
            <w:tcW w:type="dxa" w:w="2835"/>
          </w:tcPr>
          <w:p>
            <w:pPr>
              <w:spacing w:after="20" w:line="240" w:lineRule="auto"/>
            </w:pPr>
            <w:r>
              <w:rPr>
                <w:b/>
                <w:sz w:val="21"/>
              </w:rPr>
              <w:t>Student Name</w:t>
            </w:r>
          </w:p>
        </w:tc>
        <w:tc>
          <w:tcPr>
            <w:tcW w:type="dxa" w:w="6236"/>
          </w:tcPr>
          <w:p>
            <w:pPr>
              <w:spacing w:after="20" w:line="240" w:lineRule="auto"/>
            </w:pPr>
            <w:r>
              <w:rPr>
                <w:sz w:val="21"/>
              </w:rPr>
              <w:t>Oleg Mishchenko</w:t>
            </w:r>
          </w:p>
        </w:tc>
      </w:tr>
      <w:tr>
        <w:tc>
          <w:tcPr>
            <w:tcW w:type="dxa" w:w="2835"/>
            <w:shd w:val="clear" w:color="auto" w:fill="F3F6FA"/>
          </w:tcPr>
          <w:p>
            <w:pPr>
              <w:spacing w:after="20" w:line="240" w:lineRule="auto"/>
            </w:pPr>
            <w:r>
              <w:rPr>
                <w:b/>
                <w:sz w:val="21"/>
              </w:rPr>
              <w:t>Student ID</w:t>
            </w:r>
          </w:p>
        </w:tc>
        <w:tc>
          <w:tcPr>
            <w:tcW w:type="dxa" w:w="6236"/>
            <w:shd w:val="clear" w:color="auto" w:fill="F3F6FA"/>
          </w:tcPr>
          <w:p>
            <w:pPr>
              <w:spacing w:after="20" w:line="240" w:lineRule="auto"/>
            </w:pPr>
            <w:r>
              <w:rPr>
                <w:sz w:val="21"/>
                <w:highlight w:val="yellow"/>
              </w:rPr>
              <w:t>[STUDENT ID]</w:t>
            </w:r>
          </w:p>
        </w:tc>
      </w:tr>
      <w:tr>
        <w:tc>
          <w:tcPr>
            <w:tcW w:type="dxa" w:w="2835"/>
          </w:tcPr>
          <w:p>
            <w:pPr>
              <w:spacing w:after="20" w:line="240" w:lineRule="auto"/>
            </w:pPr>
            <w:r>
              <w:rPr>
                <w:b/>
                <w:sz w:val="21"/>
              </w:rPr>
              <w:t>Programme</w:t>
            </w:r>
          </w:p>
        </w:tc>
        <w:tc>
          <w:tcPr>
            <w:tcW w:type="dxa" w:w="6236"/>
          </w:tcPr>
          <w:p>
            <w:pPr>
              <w:spacing w:after="20" w:line="240" w:lineRule="auto"/>
            </w:pPr>
            <w:r>
              <w:rPr>
                <w:sz w:val="21"/>
                <w:highlight w:val="yellow"/>
              </w:rPr>
              <w:t>[Master programme name, e.g. Business Management / Information Systems]</w:t>
            </w:r>
          </w:p>
        </w:tc>
      </w:tr>
      <w:tr>
        <w:tc>
          <w:tcPr>
            <w:tcW w:type="dxa" w:w="2835"/>
            <w:shd w:val="clear" w:color="auto" w:fill="F3F6FA"/>
          </w:tcPr>
          <w:p>
            <w:pPr>
              <w:spacing w:after="20" w:line="240" w:lineRule="auto"/>
            </w:pPr>
            <w:r>
              <w:rPr>
                <w:b/>
                <w:sz w:val="21"/>
              </w:rPr>
              <w:t>Subject</w:t>
            </w:r>
          </w:p>
        </w:tc>
        <w:tc>
          <w:tcPr>
            <w:tcW w:type="dxa" w:w="6236"/>
            <w:shd w:val="clear" w:color="auto" w:fill="F3F6FA"/>
          </w:tcPr>
          <w:p>
            <w:pPr>
              <w:spacing w:after="20" w:line="240" w:lineRule="auto"/>
            </w:pPr>
            <w:r>
              <w:rPr>
                <w:sz w:val="21"/>
              </w:rPr>
              <w:t>Programming for Data Science</w:t>
            </w:r>
          </w:p>
        </w:tc>
      </w:tr>
      <w:tr>
        <w:tc>
          <w:tcPr>
            <w:tcW w:type="dxa" w:w="2835"/>
          </w:tcPr>
          <w:p>
            <w:pPr>
              <w:spacing w:after="20" w:line="240" w:lineRule="auto"/>
            </w:pPr>
            <w:r>
              <w:rPr>
                <w:b/>
                <w:sz w:val="21"/>
              </w:rPr>
              <w:t>Faculty / Supervisor</w:t>
            </w:r>
          </w:p>
        </w:tc>
        <w:tc>
          <w:tcPr>
            <w:tcW w:type="dxa" w:w="6236"/>
          </w:tcPr>
          <w:p>
            <w:pPr>
              <w:spacing w:after="20" w:line="240" w:lineRule="auto"/>
            </w:pPr>
            <w:r>
              <w:rPr>
                <w:sz w:val="21"/>
              </w:rPr>
              <w:t xml:space="preserve">Amit Joshi </w:t>
            </w:r>
            <w:r>
              <w:rPr>
                <w:sz w:val="21"/>
                <w:highlight w:val="yellow"/>
              </w:rPr>
              <w:t>[verify]</w:t>
            </w:r>
          </w:p>
        </w:tc>
      </w:tr>
      <w:tr>
        <w:tc>
          <w:tcPr>
            <w:tcW w:type="dxa" w:w="2835"/>
            <w:shd w:val="clear" w:color="auto" w:fill="F3F6FA"/>
          </w:tcPr>
          <w:p>
            <w:pPr>
              <w:spacing w:after="20" w:line="240" w:lineRule="auto"/>
            </w:pPr>
            <w:r>
              <w:rPr>
                <w:b/>
                <w:sz w:val="21"/>
              </w:rPr>
              <w:t>University</w:t>
            </w:r>
          </w:p>
        </w:tc>
        <w:tc>
          <w:tcPr>
            <w:tcW w:type="dxa" w:w="6236"/>
            <w:shd w:val="clear" w:color="auto" w:fill="F3F6FA"/>
          </w:tcPr>
          <w:p>
            <w:pPr>
              <w:spacing w:after="20" w:line="240" w:lineRule="auto"/>
            </w:pPr>
            <w:r>
              <w:rPr>
                <w:sz w:val="21"/>
              </w:rPr>
              <w:t>Riga Nordic University, Department of Natural Sciences and Information Technologies</w:t>
            </w:r>
          </w:p>
        </w:tc>
      </w:tr>
      <w:tr>
        <w:tc>
          <w:tcPr>
            <w:tcW w:type="dxa" w:w="2835"/>
          </w:tcPr>
          <w:p>
            <w:pPr>
              <w:spacing w:after="20" w:line="240" w:lineRule="auto"/>
            </w:pPr>
            <w:r>
              <w:rPr>
                <w:b/>
                <w:sz w:val="21"/>
              </w:rPr>
              <w:t>Semester &amp; Academic Year</w:t>
            </w:r>
          </w:p>
        </w:tc>
        <w:tc>
          <w:tcPr>
            <w:tcW w:type="dxa" w:w="6236"/>
          </w:tcPr>
          <w:p>
            <w:pPr>
              <w:spacing w:after="20" w:line="240" w:lineRule="auto"/>
            </w:pPr>
            <w:r>
              <w:rPr>
                <w:sz w:val="21"/>
                <w:highlight w:val="yellow"/>
              </w:rPr>
              <w:t>[Semester]</w:t>
            </w:r>
            <w:r>
              <w:rPr>
                <w:sz w:val="21"/>
              </w:rPr>
              <w:t>, 2025/2026</w:t>
            </w:r>
          </w:p>
        </w:tc>
      </w:tr>
      <w:tr>
        <w:tc>
          <w:tcPr>
            <w:tcW w:type="dxa" w:w="2835"/>
            <w:shd w:val="clear" w:color="auto" w:fill="F3F6FA"/>
          </w:tcPr>
          <w:p>
            <w:pPr>
              <w:spacing w:after="20" w:line="240" w:lineRule="auto"/>
            </w:pPr>
            <w:r>
              <w:rPr>
                <w:b/>
                <w:sz w:val="21"/>
              </w:rPr>
              <w:t>Submission Date</w:t>
            </w:r>
          </w:p>
        </w:tc>
        <w:tc>
          <w:tcPr>
            <w:tcW w:type="dxa" w:w="6236"/>
            <w:shd w:val="clear" w:color="auto" w:fill="F3F6FA"/>
          </w:tcPr>
          <w:p>
            <w:pPr>
              <w:spacing w:after="20" w:line="240" w:lineRule="auto"/>
            </w:pPr>
            <w:r>
              <w:rPr>
                <w:sz w:val="21"/>
                <w:highlight w:val="yellow"/>
              </w:rPr>
              <w:t>[DD.MM.2026]</w:t>
            </w:r>
          </w:p>
        </w:tc>
      </w:tr>
    </w:tbl>
    <w:p>
      <w:pPr>
        <w:spacing w:after="40"/>
      </w:pPr>
      <w:r>
        <w:br w:type="page"/>
      </w:r>
    </w:p>
    <w:p>
      <w:pPr>
        <w:pStyle w:val="Heading1"/>
      </w:pPr>
      <w:r>
        <w:t>Contents</w:t>
      </w:r>
    </w:p>
    <w:p>
      <w:pPr>
        <w:spacing w:after="40"/>
        <w:ind w:left="283"/>
      </w:pPr>
      <w:r>
        <w:fldChar w:fldCharType="begin"/>
      </w:r>
      <w:r>
        <w:instrText xml:space="preserve">TOC \o "1-1" \h \z \u</w:instrText>
      </w:r>
      <w:r>
        <w:fldChar w:fldCharType="separate"/>
      </w:r>
      <w:r>
        <w:t>2. Abstract / Executive Summary</w:t>
      </w:r>
    </w:p>
    <w:p>
      <w:pPr>
        <w:spacing w:after="40"/>
        <w:ind w:left="283"/>
      </w:pPr>
      <w:r>
        <w:t>3. Introduction</w:t>
      </w:r>
    </w:p>
    <w:p>
      <w:pPr>
        <w:spacing w:after="40"/>
        <w:ind w:left="283"/>
      </w:pPr>
      <w:r>
        <w:t>4. Problem Statement</w:t>
      </w:r>
    </w:p>
    <w:p>
      <w:pPr>
        <w:spacing w:after="40"/>
        <w:ind w:left="283"/>
      </w:pPr>
      <w:r>
        <w:t>5. Project Objectives</w:t>
      </w:r>
    </w:p>
    <w:p>
      <w:pPr>
        <w:spacing w:after="40"/>
        <w:ind w:left="283"/>
      </w:pPr>
      <w:r>
        <w:t>6. Literature Review (MANDATORY)</w:t>
      </w:r>
    </w:p>
    <w:p>
      <w:pPr>
        <w:spacing w:after="40"/>
        <w:ind w:left="283"/>
      </w:pPr>
      <w:r>
        <w:t>7. Project Scope</w:t>
      </w:r>
    </w:p>
    <w:p>
      <w:pPr>
        <w:spacing w:after="40"/>
        <w:ind w:left="283"/>
      </w:pPr>
      <w:r>
        <w:t>8. Proposed Methodology</w:t>
      </w:r>
    </w:p>
    <w:p>
      <w:pPr>
        <w:spacing w:after="40"/>
        <w:ind w:left="283"/>
      </w:pPr>
      <w:r>
        <w:t>9. System Architecture Diagram (MANDATORY)</w:t>
      </w:r>
    </w:p>
    <w:p>
      <w:pPr>
        <w:spacing w:after="40"/>
        <w:ind w:left="283"/>
      </w:pPr>
      <w:r>
        <w:t>10. Technical Implementation</w:t>
      </w:r>
    </w:p>
    <w:p>
      <w:pPr>
        <w:spacing w:after="40"/>
        <w:ind w:left="283"/>
      </w:pPr>
      <w:r>
        <w:t>11. Dataset Description (MANDATORY)</w:t>
      </w:r>
    </w:p>
    <w:p>
      <w:pPr>
        <w:spacing w:after="40"/>
        <w:ind w:left="283"/>
      </w:pPr>
      <w:r>
        <w:t>12. Functional Scope</w:t>
      </w:r>
    </w:p>
    <w:p>
      <w:pPr>
        <w:spacing w:after="40"/>
        <w:ind w:left="283"/>
      </w:pPr>
      <w:r>
        <w:t>13. Non-Functional Scope</w:t>
      </w:r>
    </w:p>
    <w:p>
      <w:pPr>
        <w:spacing w:after="40"/>
        <w:ind w:left="283"/>
      </w:pPr>
      <w:r>
        <w:t>14. Work Packages / Project Modules</w:t>
      </w:r>
    </w:p>
    <w:p>
      <w:pPr>
        <w:spacing w:after="40"/>
        <w:ind w:left="283"/>
      </w:pPr>
      <w:r>
        <w:t>15. Gantt Chart</w:t>
      </w:r>
    </w:p>
    <w:p>
      <w:pPr>
        <w:spacing w:after="40"/>
        <w:ind w:left="283"/>
      </w:pPr>
      <w:r>
        <w:t>16. SWOT Analysis (MANDATORY)</w:t>
      </w:r>
    </w:p>
    <w:p>
      <w:pPr>
        <w:spacing w:after="40"/>
        <w:ind w:left="283"/>
      </w:pPr>
      <w:r>
        <w:t>17. Risk Analysis &amp; Mitigation Plan</w:t>
      </w:r>
    </w:p>
    <w:p>
      <w:pPr>
        <w:spacing w:after="40"/>
        <w:ind w:left="283"/>
      </w:pPr>
      <w:r>
        <w:t>18. Application Screenshots (MANDATORY)</w:t>
      </w:r>
    </w:p>
    <w:p>
      <w:pPr>
        <w:spacing w:after="40"/>
        <w:ind w:left="283"/>
      </w:pPr>
      <w:r>
        <w:t>19. Data Visualization &amp; Analysis</w:t>
      </w:r>
    </w:p>
    <w:p>
      <w:pPr>
        <w:spacing w:after="40"/>
        <w:ind w:left="283"/>
      </w:pPr>
      <w:r>
        <w:t>20. Results &amp; Output</w:t>
      </w:r>
    </w:p>
    <w:p>
      <w:pPr>
        <w:spacing w:after="40"/>
        <w:ind w:left="283"/>
      </w:pPr>
      <w:r>
        <w:t>21. Testing &amp; Validation</w:t>
      </w:r>
    </w:p>
    <w:p>
      <w:pPr>
        <w:spacing w:after="40"/>
        <w:ind w:left="283"/>
      </w:pPr>
      <w:r>
        <w:t>22. Impact on Society / Business</w:t>
      </w:r>
    </w:p>
    <w:p>
      <w:pPr>
        <w:spacing w:after="40"/>
        <w:ind w:left="283"/>
      </w:pPr>
      <w:r>
        <w:t>23. Future Scope</w:t>
      </w:r>
    </w:p>
    <w:p>
      <w:pPr>
        <w:spacing w:after="40"/>
        <w:ind w:left="283"/>
      </w:pPr>
      <w:r>
        <w:t>24. Conclusion</w:t>
      </w:r>
    </w:p>
    <w:p>
      <w:pPr>
        <w:spacing w:after="40"/>
        <w:ind w:left="283"/>
      </w:pPr>
      <w:r>
        <w:t>25. References</w:t>
      </w:r>
      <w:r>
        <w:fldChar w:fldCharType="end"/>
      </w:r>
      <w:r>
        <w:br w:type="page"/>
      </w:r>
    </w:p>
    <w:p>
      <w:pPr>
        <w:pStyle w:val="Heading1"/>
      </w:pPr>
      <w:r>
        <w:t>2. Abstract / Executive Summary</w:t>
      </w:r>
    </w:p>
    <w:p>
      <w:r>
        <w:rPr>
          <w:b/>
        </w:rPr>
        <w:t>Objective.</w:t>
      </w:r>
      <w:r>
        <w:t xml:space="preserve"> The project builds a working data-science application that measures how much 8th and 9th grade students offload thinking to AI tools, and tests whether this offloading relates to attention and critical thinking. It is the software counterpart of the author's Master's thesis </w:t>
      </w:r>
      <w:r>
        <w:rPr>
          <w:i/>
        </w:rPr>
        <w:t>"Use of AI Tools and Cognitive Offloading among 8th and 9th Grade Students: Associations with Attention and Critical Thinking in a Latvian International School"</w:t>
      </w:r>
      <w:r>
        <w:t>.</w:t>
      </w:r>
    </w:p>
    <w:p>
      <w:r>
        <w:rPr>
          <w:b/>
        </w:rPr>
        <w:t>Problem.</w:t>
      </w:r>
      <w:r>
        <w:t xml:space="preserve"> Generative AI (ChatGPT, Gemini, Copilot) is now part of everyday homework. The literature links heavy AI reliance to weaker critical thinking (Gerlich, 2025: r = −0.68; Tian &amp; Zhang, 2025: r = −0.35) and links screen exposure to concentration problems (Leonhardt et al., 2025: +51% risk above 2 h/day). Schools still have no student-level data or tools for monitoring this. The thesis study had n = 12, which is too small to test its hypothesis (critical r = 0.576).</w:t>
      </w:r>
    </w:p>
    <w:p>
      <w:r>
        <w:rPr>
          <w:b/>
        </w:rPr>
        <w:t>Methodology.</w:t>
      </w:r>
      <w:r>
        <w:t xml:space="preserve"> The thesis instruments were turned into a structured data model: the 12-item questionnaire, the AI Offloading Composite Score (Q4, Q8, Q9, reversed Q10–Q12), Luria's 10 Words, Schulte Tables, Digit Span and the "Survival Story" critical-thinking task. A synthetic, thesis-calibrated dataset of N = 180 students was generated, loaded into SQLite and analysed with Pearson/Spearman correlation, Welch t-tests and effect sizes. Logistic Regression and Random Forest classifiers predict </w:t>
      </w:r>
      <w:r>
        <w:rPr>
          <w:i/>
        </w:rPr>
        <w:t>low attention</w:t>
      </w:r>
      <w:r>
        <w:t xml:space="preserve"> and </w:t>
      </w:r>
      <w:r>
        <w:rPr>
          <w:i/>
        </w:rPr>
        <w:t>low critical thinking</w:t>
      </w:r>
      <w:r>
        <w:t xml:space="preserve"> from AI-use answers only.</w:t>
      </w:r>
    </w:p>
    <w:p>
      <w:r>
        <w:rPr>
          <w:b/>
        </w:rPr>
        <w:t>Technologies.</w:t>
      </w:r>
      <w:r>
        <w:t xml:space="preserve"> Python 3.13, Flask, SQLite, pandas, NumPy, SciPy, scikit-learn, matplotlib, Jinja2/HTML/CSS.</w:t>
      </w:r>
    </w:p>
    <w:p>
      <w:r>
        <w:rPr>
          <w:b/>
        </w:rPr>
        <w:t>Results.</w:t>
      </w:r>
      <w:r>
        <w:t xml:space="preserve"> The simulated replication shows the hypothesised pattern: offloading correlates with the attention index at r = −0.58 and with critical thinking at r = −0.53 (both p &lt; 0.001). The Higher AI-use group scores lower on all cognitive measures (Cohen's d from −0.73 to −0.90). The best low-attention model (Logistic Regression) reaches F1 = 0.76, recall = 1.00 and ROC-AUC = 0.96 on the test set (5-fold CV F1 = 0.66). The best low-critical-thinking model (Random Forest) reaches F1 = 0.65 and ROC-AUC = 0.75 (CV F1 = 0.68). The app provides a dashboard, full CRUD, risk prediction with recommendations, model evaluation and a data-quality view.</w:t>
      </w:r>
    </w:p>
    <w:p>
      <w:pPr>
        <w:pStyle w:val="Heading1"/>
      </w:pPr>
      <w:r>
        <w:t>3. Introduction</w:t>
      </w:r>
    </w:p>
    <w:p>
      <w:r>
        <w:rPr>
          <w:b/>
        </w:rPr>
        <w:t>Background.</w:t>
      </w:r>
      <w:r>
        <w:t xml:space="preserve"> AI tools have become part of students' daily learning routines: explanations, grammar correction, translation, idea generation and, sometimes, complete answers. </w:t>
      </w:r>
      <w:r>
        <w:rPr>
          <w:i/>
        </w:rPr>
        <w:t>Cognitive offloading</w:t>
      </w:r>
      <w:r>
        <w:t xml:space="preserve"> means using external tools to reduce the cognitive demand of a task (Risko &amp; Gilbert, 2016). It improves immediate performance but can weaken long-term retention and independent reasoning (Peng &amp; Yeh, 2025). Lower secondary students (ages 13–15) are in a sensitive period for developing executive functions, so this question matters most for them.</w:t>
      </w:r>
    </w:p>
    <w:p>
      <w:r>
        <w:rPr>
          <w:b/>
        </w:rPr>
        <w:t>Need for the solution.</w:t>
      </w:r>
      <w:r>
        <w:t xml:space="preserve"> The thesis found that all surveyed students use AI. Use was mostly reflective: 92% never or rarely copy AI text and 75% rewrite AI answers. However, the Higher AI-use group showed a weaker active-processing profile (mean offloading 2.20 vs 1.83). Teachers have no instrument for spotting the students whose AI use is drifting from </w:t>
      </w:r>
      <w:r>
        <w:rPr>
          <w:i/>
        </w:rPr>
        <w:t>support</w:t>
      </w:r>
      <w:r>
        <w:t xml:space="preserve"> to </w:t>
      </w:r>
      <w:r>
        <w:rPr>
          <w:i/>
        </w:rPr>
        <w:t>substitution</w:t>
      </w:r>
      <w:r>
        <w:t>.</w:t>
      </w:r>
    </w:p>
    <w:p>
      <w:r>
        <w:rPr>
          <w:b/>
        </w:rPr>
        <w:t>Research and industry relevance.</w:t>
      </w:r>
      <w:r>
        <w:t xml:space="preserve"> In Latvia, 42% of 15-year-olds report digital distraction in class, against an OECD average of 30% (OECD, 2023). The thesis also stresses a business-management angle: AI reliance habits formed at school carry over into professional teams, where the same offloading risk affects decision quality.</w:t>
      </w:r>
    </w:p>
    <w:p>
      <w:r>
        <w:rPr>
          <w:b/>
        </w:rPr>
        <w:t>Current challenges.</w:t>
      </w:r>
      <w:r>
        <w:t xml:space="preserve"> Evidence comes mostly from university or adult samples. School studies are small. Paper-and-pencil test data sit in spreadsheets, and no screening model links questionnaire behaviour to cognitive outcomes.</w:t>
      </w:r>
    </w:p>
    <w:p>
      <w:pPr>
        <w:pStyle w:val="Heading1"/>
      </w:pPr>
      <w:r>
        <w:t>4. Problem Statement</w:t>
      </w:r>
    </w:p>
    <w:p>
      <w:pPr>
        <w:pStyle w:val="ListBullet"/>
        <w:spacing w:after="60"/>
      </w:pPr>
      <w:r>
        <w:rPr>
          <w:b/>
        </w:rPr>
        <w:t>Existing problem.</w:t>
      </w:r>
      <w:r>
        <w:t xml:space="preserve"> Growing AI use at school may reduce students' independent thinking and concentration, but schools have no student-level data for checking this (thesis, "Problem of the research").</w:t>
      </w:r>
    </w:p>
    <w:p>
      <w:pPr>
        <w:pStyle w:val="ListBullet"/>
        <w:spacing w:after="60"/>
      </w:pPr>
      <w:r>
        <w:rPr>
          <w:b/>
        </w:rPr>
        <w:t>Why it matters.</w:t>
      </w:r>
      <w:r>
        <w:t xml:space="preserve"> Attention and critical thinking predict academic success and later professional performance. Uncritical AI use is linked to "increased laziness" in 68.9% of students and degraded decision-making in 27.7% (Zhai et al., 2024).</w:t>
      </w:r>
    </w:p>
    <w:p>
      <w:pPr>
        <w:pStyle w:val="ListBullet"/>
        <w:spacing w:after="60"/>
      </w:pPr>
      <w:r>
        <w:rPr>
          <w:b/>
        </w:rPr>
        <w:t>Current limitations.</w:t>
      </w:r>
      <w:r>
        <w:t xml:space="preserve"> The thesis sample (n = 12) could not detect medium effects. Its observed correlations were r = +0.26 to +0.30, not significant. Data were analysed by hand, and there is no repeatable pipeline, database or predictive component.</w:t>
      </w:r>
    </w:p>
    <w:p>
      <w:pPr>
        <w:pStyle w:val="ListBullet"/>
        <w:spacing w:after="60"/>
      </w:pPr>
      <w:r>
        <w:rPr>
          <w:b/>
        </w:rPr>
        <w:t>Need for a data-science solution.</w:t>
      </w:r>
      <w:r>
        <w:t xml:space="preserve"> The school needs a reproducible pipeline (collect → store → derive indicators → analyse → predict) that scales to larger cohorts, recomputes the composite scores consistently, quantifies relationships with proper statistics, and flags at-risk students early.</w:t>
      </w:r>
    </w:p>
    <w:p>
      <w:pPr>
        <w:pStyle w:val="Heading1"/>
      </w:pPr>
      <w:r>
        <w:t>5. Project Objectives</w:t>
      </w:r>
    </w:p>
    <w:p>
      <w:r>
        <w:rPr>
          <w:b/>
        </w:rPr>
        <w:t>Main objective.</w:t>
      </w:r>
      <w:r>
        <w:t xml:space="preserve"> Develop a web-based data-science system that operationalises the thesis methodology and evaluates and predicts the link between AI-based cognitive offloading and students' attention and critical thinking.</w:t>
      </w:r>
    </w:p>
    <w:p>
      <w:pPr>
        <w:keepNext/>
        <w:spacing w:before="120"/>
      </w:pPr>
      <w:r>
        <w:rPr>
          <w:b/>
        </w:rPr>
        <w:t>Specific objectives</w:t>
      </w:r>
    </w:p>
    <w:p>
      <w:pPr>
        <w:pStyle w:val="ListNumber"/>
        <w:numPr>
          <w:ilvl w:val="0"/>
          <w:numId w:val="10"/>
        </w:numPr>
        <w:spacing w:after="60"/>
      </w:pPr>
      <w:r>
        <w:t>Model the thesis instruments as a relational schema with automatically derived indicators.</w:t>
      </w:r>
    </w:p>
    <w:p>
      <w:pPr>
        <w:pStyle w:val="ListNumber"/>
        <w:numPr>
          <w:ilvl w:val="0"/>
          <w:numId w:val="10"/>
        </w:numPr>
        <w:spacing w:after="60"/>
      </w:pPr>
      <w:r>
        <w:t>Generate a thesis-calibrated synthetic dataset (N = 180) with realistic missing data.</w:t>
      </w:r>
    </w:p>
    <w:p>
      <w:pPr>
        <w:pStyle w:val="ListNumber"/>
        <w:numPr>
          <w:ilvl w:val="0"/>
          <w:numId w:val="10"/>
        </w:numPr>
        <w:spacing w:after="60"/>
      </w:pPr>
      <w:r>
        <w:t>Provide descriptive and inferential analytics that mirror thesis Tables 4.3, 4.7 and 4.8.</w:t>
      </w:r>
    </w:p>
    <w:p>
      <w:pPr>
        <w:pStyle w:val="ListNumber"/>
        <w:numPr>
          <w:ilvl w:val="0"/>
          <w:numId w:val="10"/>
        </w:numPr>
        <w:spacing w:after="60"/>
      </w:pPr>
      <w:r>
        <w:t xml:space="preserve">Train and compare classifiers for </w:t>
      </w:r>
      <w:r>
        <w:rPr>
          <w:i/>
        </w:rPr>
        <w:t>low attention</w:t>
      </w:r>
      <w:r>
        <w:t xml:space="preserve"> and </w:t>
      </w:r>
      <w:r>
        <w:rPr>
          <w:i/>
        </w:rPr>
        <w:t>low critical thinking</w:t>
      </w:r>
      <w:r>
        <w:t>.</w:t>
      </w:r>
    </w:p>
    <w:p>
      <w:pPr>
        <w:pStyle w:val="ListNumber"/>
        <w:numPr>
          <w:ilvl w:val="0"/>
          <w:numId w:val="10"/>
        </w:numPr>
        <w:spacing w:after="60"/>
      </w:pPr>
      <w:r>
        <w:t>Provide CRUD so teachers can enter new survey and test results.</w:t>
      </w:r>
    </w:p>
    <w:p>
      <w:pPr>
        <w:keepNext/>
        <w:spacing w:before="120"/>
      </w:pPr>
      <w:r>
        <w:rPr>
          <w:b/>
        </w:rPr>
        <w:t>Measurable goals</w:t>
      </w:r>
    </w:p>
    <w:p>
      <w:pPr>
        <w:pStyle w:val="ListBullet"/>
        <w:spacing w:after="60"/>
      </w:pPr>
      <w:r>
        <w:t>Composite scores recomputed for 100% of records, with ≥ 4 of 6 items required for the offloading score.</w:t>
      </w:r>
    </w:p>
    <w:p>
      <w:pPr>
        <w:pStyle w:val="ListBullet"/>
        <w:spacing w:after="60"/>
      </w:pPr>
      <w:r>
        <w:t xml:space="preserve">Classifier F1 (at-risk class) ≥ 0.60 and ROC-AUC ≥ 0.75, both above the majority baseline. </w:t>
      </w:r>
      <w:r>
        <w:rPr>
          <w:b/>
        </w:rPr>
        <w:t>Achieved: 0.76 / 0.96 and 0.65 / 0.75.</w:t>
      </w:r>
    </w:p>
    <w:p>
      <w:pPr>
        <w:pStyle w:val="ListBullet"/>
        <w:spacing w:after="60"/>
      </w:pPr>
      <w:r>
        <w:t>All pages respond in under 2 s on a laptop with N = 180.</w:t>
      </w:r>
    </w:p>
    <w:p>
      <w:pPr>
        <w:pStyle w:val="ListBullet"/>
        <w:spacing w:after="60"/>
      </w:pPr>
      <w:r>
        <w:t>8 automated tests pass.</w:t>
      </w:r>
    </w:p>
    <w:p>
      <w:r>
        <w:rPr>
          <w:b/>
        </w:rPr>
        <w:t>Functional goals.</w:t>
      </w:r>
      <w:r>
        <w:t xml:space="preserve"> Dashboard with five filters, CRUD with validation, prediction form plus JSON API, retrain button, CSV export.</w:t>
      </w:r>
    </w:p>
    <w:p>
      <w:pPr>
        <w:pStyle w:val="Heading1"/>
      </w:pPr>
      <w:r>
        <w:t>6. Literature Review</w:t>
      </w:r>
    </w:p>
    <w:p>
      <w:pPr>
        <w:pStyle w:val="Heading2"/>
      </w:pPr>
      <w:r>
        <w:t>6.1 Existing systems</w:t>
      </w:r>
    </w:p>
    <w:p>
      <w:pPr>
        <w:pStyle w:val="ListBullet"/>
        <w:spacing w:after="60"/>
      </w:pPr>
      <w:r>
        <w:rPr>
          <w:b/>
        </w:rPr>
        <w:t>LMS analytics</w:t>
      </w:r>
      <w:r>
        <w:t xml:space="preserve"> (Moodle Analytics, Google Classroom) track logins and grades, not AI-use behaviour or cognition.</w:t>
      </w:r>
    </w:p>
    <w:p>
      <w:pPr>
        <w:pStyle w:val="ListBullet"/>
        <w:spacing w:after="60"/>
      </w:pPr>
      <w:r>
        <w:rPr>
          <w:b/>
        </w:rPr>
        <w:t>AI-detection tools</w:t>
      </w:r>
      <w:r>
        <w:t xml:space="preserve"> (Turnitin AI, GPTZero) classify </w:t>
      </w:r>
      <w:r>
        <w:rPr>
          <w:i/>
        </w:rPr>
        <w:t>texts</w:t>
      </w:r>
      <w:r>
        <w:t xml:space="preserve">, not </w:t>
      </w:r>
      <w:r>
        <w:rPr>
          <w:i/>
        </w:rPr>
        <w:t>students' cognitive habits</w:t>
      </w:r>
      <w:r>
        <w:t>. They also have high false-positive rates and no developmental view.</w:t>
      </w:r>
    </w:p>
    <w:p>
      <w:pPr>
        <w:pStyle w:val="ListBullet"/>
        <w:spacing w:after="60"/>
      </w:pPr>
      <w:r>
        <w:rPr>
          <w:b/>
        </w:rPr>
        <w:t>Psychological test batteries</w:t>
      </w:r>
      <w:r>
        <w:t xml:space="preserve"> (Wechsler Digit Span, Luria, Schulte) are validated but run on paper, with no link to behaviour data.</w:t>
      </w:r>
    </w:p>
    <w:p>
      <w:pPr>
        <w:pStyle w:val="ListBullet"/>
        <w:spacing w:after="60"/>
      </w:pPr>
      <w:r>
        <w:rPr>
          <w:b/>
        </w:rPr>
        <w:t>Adaptive tutoring systems</w:t>
      </w:r>
      <w:r>
        <w:t xml:space="preserve"> personalise learning (Ansari &amp; Qamari, 2025) but do not measure offloading.</w:t>
      </w:r>
    </w:p>
    <w:p>
      <w:pPr>
        <w:pStyle w:val="Heading2"/>
      </w:pPr>
      <w:r>
        <w:t>6.2 Research papers (from the thesis evidence base)</w:t>
      </w:r>
    </w:p>
    <w:tbl>
      <w:tblPr>
        <w:tblStyle w:val="TableGrid"/>
        <w:tblW w:type="auto" w:w="0"/>
        <w:jc w:val="center"/>
        <w:tblLayout w:type="fixed"/>
        <w:tblLook w:firstColumn="1" w:firstRow="1" w:lastColumn="0" w:lastRow="0" w:noHBand="0" w:noVBand="1" w:val="04A0"/>
      </w:tblPr>
      <w:tblGrid>
        <w:gridCol w:w="442"/>
        <w:gridCol w:w="2067"/>
        <w:gridCol w:w="1412"/>
        <w:gridCol w:w="5149"/>
      </w:tblGrid>
      <w:tr>
        <w:trPr>
          <w:tblHeader w:val="true"/>
        </w:trPr>
        <w:tc>
          <w:tcPr>
            <w:tcW w:type="dxa" w:w="442"/>
            <w:shd w:val="clear" w:color="auto" w:fill="1F3A5F"/>
          </w:tcPr>
          <w:p>
            <w:pPr>
              <w:spacing w:after="20" w:line="240" w:lineRule="auto"/>
            </w:pPr>
            <w:r>
              <w:rPr>
                <w:b/>
                <w:color w:val="FFFFFF"/>
                <w:sz w:val="19"/>
              </w:rPr>
              <w:t>#</w:t>
            </w:r>
          </w:p>
        </w:tc>
        <w:tc>
          <w:tcPr>
            <w:tcW w:type="dxa" w:w="2067"/>
            <w:shd w:val="clear" w:color="auto" w:fill="1F3A5F"/>
          </w:tcPr>
          <w:p>
            <w:pPr>
              <w:spacing w:after="20" w:line="240" w:lineRule="auto"/>
            </w:pPr>
            <w:r>
              <w:rPr>
                <w:b/>
                <w:color w:val="FFFFFF"/>
                <w:sz w:val="19"/>
              </w:rPr>
              <w:t>Study</w:t>
            </w:r>
          </w:p>
        </w:tc>
        <w:tc>
          <w:tcPr>
            <w:tcW w:type="dxa" w:w="1412"/>
            <w:shd w:val="clear" w:color="auto" w:fill="1F3A5F"/>
          </w:tcPr>
          <w:p>
            <w:pPr>
              <w:spacing w:after="20" w:line="240" w:lineRule="auto"/>
            </w:pPr>
            <w:r>
              <w:rPr>
                <w:b/>
                <w:color w:val="FFFFFF"/>
                <w:sz w:val="19"/>
              </w:rPr>
              <w:t>Sample</w:t>
            </w:r>
          </w:p>
        </w:tc>
        <w:tc>
          <w:tcPr>
            <w:tcW w:type="dxa" w:w="5149"/>
            <w:shd w:val="clear" w:color="auto" w:fill="1F3A5F"/>
          </w:tcPr>
          <w:p>
            <w:pPr>
              <w:spacing w:after="20" w:line="240" w:lineRule="auto"/>
            </w:pPr>
            <w:r>
              <w:rPr>
                <w:b/>
                <w:color w:val="FFFFFF"/>
                <w:sz w:val="19"/>
              </w:rPr>
              <w:t>Key finding relevant to the system</w:t>
            </w:r>
          </w:p>
        </w:tc>
      </w:tr>
      <w:tr>
        <w:tc>
          <w:tcPr>
            <w:tcW w:type="dxa" w:w="442"/>
          </w:tcPr>
          <w:p>
            <w:pPr>
              <w:spacing w:after="20" w:line="240" w:lineRule="auto"/>
            </w:pPr>
            <w:r>
              <w:rPr>
                <w:sz w:val="19"/>
              </w:rPr>
              <w:t>1</w:t>
            </w:r>
          </w:p>
        </w:tc>
        <w:tc>
          <w:tcPr>
            <w:tcW w:type="dxa" w:w="2067"/>
          </w:tcPr>
          <w:p>
            <w:pPr>
              <w:spacing w:after="20" w:line="240" w:lineRule="auto"/>
            </w:pPr>
            <w:r>
              <w:rPr>
                <w:sz w:val="19"/>
              </w:rPr>
              <w:t>Gerlich (2025)</w:t>
            </w:r>
          </w:p>
        </w:tc>
        <w:tc>
          <w:tcPr>
            <w:tcW w:type="dxa" w:w="1412"/>
          </w:tcPr>
          <w:p>
            <w:pPr>
              <w:spacing w:after="20" w:line="240" w:lineRule="auto"/>
            </w:pPr>
            <w:r>
              <w:rPr>
                <w:sz w:val="19"/>
              </w:rPr>
              <w:t>655 adults</w:t>
            </w:r>
          </w:p>
        </w:tc>
        <w:tc>
          <w:tcPr>
            <w:tcW w:type="dxa" w:w="5149"/>
          </w:tcPr>
          <w:p>
            <w:pPr>
              <w:spacing w:after="20" w:line="240" w:lineRule="auto"/>
            </w:pPr>
            <w:r>
              <w:rPr>
                <w:sz w:val="19"/>
              </w:rPr>
              <w:t>AI use ↔ offloading r = +0.72; AI use ↔ critical thinking r = −0.68; offloading mediates the effect (b = −0.42)</w:t>
            </w:r>
          </w:p>
        </w:tc>
      </w:tr>
      <w:tr>
        <w:tc>
          <w:tcPr>
            <w:tcW w:type="dxa" w:w="442"/>
            <w:shd w:val="clear" w:color="auto" w:fill="F3F6FA"/>
          </w:tcPr>
          <w:p>
            <w:pPr>
              <w:spacing w:after="20" w:line="240" w:lineRule="auto"/>
            </w:pPr>
            <w:r>
              <w:rPr>
                <w:sz w:val="19"/>
              </w:rPr>
              <w:t>2</w:t>
            </w:r>
          </w:p>
        </w:tc>
        <w:tc>
          <w:tcPr>
            <w:tcW w:type="dxa" w:w="2067"/>
            <w:shd w:val="clear" w:color="auto" w:fill="F3F6FA"/>
          </w:tcPr>
          <w:p>
            <w:pPr>
              <w:spacing w:after="20" w:line="240" w:lineRule="auto"/>
            </w:pPr>
            <w:r>
              <w:rPr>
                <w:sz w:val="19"/>
              </w:rPr>
              <w:t>Tian &amp; Zhang (2025)</w:t>
            </w:r>
          </w:p>
        </w:tc>
        <w:tc>
          <w:tcPr>
            <w:tcW w:type="dxa" w:w="1412"/>
            <w:shd w:val="clear" w:color="auto" w:fill="F3F6FA"/>
          </w:tcPr>
          <w:p>
            <w:pPr>
              <w:spacing w:after="20" w:line="240" w:lineRule="auto"/>
            </w:pPr>
            <w:r>
              <w:rPr>
                <w:sz w:val="19"/>
              </w:rPr>
              <w:t>580 students</w:t>
            </w:r>
          </w:p>
        </w:tc>
        <w:tc>
          <w:tcPr>
            <w:tcW w:type="dxa" w:w="5149"/>
            <w:shd w:val="clear" w:color="auto" w:fill="F3F6FA"/>
          </w:tcPr>
          <w:p>
            <w:pPr>
              <w:spacing w:after="20" w:line="240" w:lineRule="auto"/>
            </w:pPr>
            <w:r>
              <w:rPr>
                <w:sz w:val="19"/>
              </w:rPr>
              <w:t>AI dependence ↔ CT r = −0.35; cognitive fatigue mediates; information literacy protects</w:t>
            </w:r>
          </w:p>
        </w:tc>
      </w:tr>
      <w:tr>
        <w:tc>
          <w:tcPr>
            <w:tcW w:type="dxa" w:w="442"/>
          </w:tcPr>
          <w:p>
            <w:pPr>
              <w:spacing w:after="20" w:line="240" w:lineRule="auto"/>
            </w:pPr>
            <w:r>
              <w:rPr>
                <w:sz w:val="19"/>
              </w:rPr>
              <w:t>3</w:t>
            </w:r>
          </w:p>
        </w:tc>
        <w:tc>
          <w:tcPr>
            <w:tcW w:type="dxa" w:w="2067"/>
          </w:tcPr>
          <w:p>
            <w:pPr>
              <w:spacing w:after="20" w:line="240" w:lineRule="auto"/>
            </w:pPr>
            <w:r>
              <w:rPr>
                <w:sz w:val="19"/>
              </w:rPr>
              <w:t>Risko &amp; Gilbert (2016)</w:t>
            </w:r>
          </w:p>
        </w:tc>
        <w:tc>
          <w:tcPr>
            <w:tcW w:type="dxa" w:w="1412"/>
          </w:tcPr>
          <w:p>
            <w:pPr>
              <w:spacing w:after="20" w:line="240" w:lineRule="auto"/>
            </w:pPr>
            <w:r>
              <w:rPr>
                <w:sz w:val="19"/>
              </w:rPr>
              <w:t>review</w:t>
            </w:r>
          </w:p>
        </w:tc>
        <w:tc>
          <w:tcPr>
            <w:tcW w:type="dxa" w:w="5149"/>
          </w:tcPr>
          <w:p>
            <w:pPr>
              <w:spacing w:after="20" w:line="240" w:lineRule="auto"/>
            </w:pPr>
            <w:r>
              <w:rPr>
                <w:sz w:val="19"/>
              </w:rPr>
              <w:t>Defines cognitive offloading; trade-off between performance and memory</w:t>
            </w:r>
          </w:p>
        </w:tc>
      </w:tr>
      <w:tr>
        <w:tc>
          <w:tcPr>
            <w:tcW w:type="dxa" w:w="442"/>
            <w:shd w:val="clear" w:color="auto" w:fill="F3F6FA"/>
          </w:tcPr>
          <w:p>
            <w:pPr>
              <w:spacing w:after="20" w:line="240" w:lineRule="auto"/>
            </w:pPr>
            <w:r>
              <w:rPr>
                <w:sz w:val="19"/>
              </w:rPr>
              <w:t>4</w:t>
            </w:r>
          </w:p>
        </w:tc>
        <w:tc>
          <w:tcPr>
            <w:tcW w:type="dxa" w:w="2067"/>
            <w:shd w:val="clear" w:color="auto" w:fill="F3F6FA"/>
          </w:tcPr>
          <w:p>
            <w:pPr>
              <w:spacing w:after="20" w:line="240" w:lineRule="auto"/>
            </w:pPr>
            <w:r>
              <w:rPr>
                <w:sz w:val="19"/>
              </w:rPr>
              <w:t>Peng &amp; Yeh (2025)</w:t>
            </w:r>
          </w:p>
        </w:tc>
        <w:tc>
          <w:tcPr>
            <w:tcW w:type="dxa" w:w="1412"/>
            <w:shd w:val="clear" w:color="auto" w:fill="F3F6FA"/>
          </w:tcPr>
          <w:p>
            <w:pPr>
              <w:spacing w:after="20" w:line="240" w:lineRule="auto"/>
            </w:pPr>
            <w:r>
              <w:rPr>
                <w:sz w:val="19"/>
              </w:rPr>
              <w:t>experiment</w:t>
            </w:r>
          </w:p>
        </w:tc>
        <w:tc>
          <w:tcPr>
            <w:tcW w:type="dxa" w:w="5149"/>
            <w:shd w:val="clear" w:color="auto" w:fill="F3F6FA"/>
          </w:tcPr>
          <w:p>
            <w:pPr>
              <w:spacing w:after="20" w:line="240" w:lineRule="auto"/>
            </w:pPr>
            <w:r>
              <w:rPr>
                <w:sz w:val="19"/>
              </w:rPr>
              <w:t>Offloading &gt; 90% accurate on easy tasks; high trust → more offloading</w:t>
            </w:r>
          </w:p>
        </w:tc>
      </w:tr>
      <w:tr>
        <w:tc>
          <w:tcPr>
            <w:tcW w:type="dxa" w:w="442"/>
          </w:tcPr>
          <w:p>
            <w:pPr>
              <w:spacing w:after="20" w:line="240" w:lineRule="auto"/>
            </w:pPr>
            <w:r>
              <w:rPr>
                <w:sz w:val="19"/>
              </w:rPr>
              <w:t>5</w:t>
            </w:r>
          </w:p>
        </w:tc>
        <w:tc>
          <w:tcPr>
            <w:tcW w:type="dxa" w:w="2067"/>
          </w:tcPr>
          <w:p>
            <w:pPr>
              <w:spacing w:after="20" w:line="240" w:lineRule="auto"/>
            </w:pPr>
            <w:r>
              <w:rPr>
                <w:sz w:val="19"/>
              </w:rPr>
              <w:t>Zhai et al. (2024)</w:t>
            </w:r>
          </w:p>
        </w:tc>
        <w:tc>
          <w:tcPr>
            <w:tcW w:type="dxa" w:w="1412"/>
          </w:tcPr>
          <w:p>
            <w:pPr>
              <w:spacing w:after="20" w:line="240" w:lineRule="auto"/>
            </w:pPr>
            <w:r>
              <w:rPr>
                <w:sz w:val="19"/>
              </w:rPr>
              <w:t>14 studies</w:t>
            </w:r>
          </w:p>
        </w:tc>
        <w:tc>
          <w:tcPr>
            <w:tcW w:type="dxa" w:w="5149"/>
          </w:tcPr>
          <w:p>
            <w:pPr>
              <w:spacing w:after="20" w:line="240" w:lineRule="auto"/>
            </w:pPr>
            <w:r>
              <w:rPr>
                <w:sz w:val="19"/>
              </w:rPr>
              <w:t>Over-reliance on AI dialogue systems reduces analytical thinking</w:t>
            </w:r>
          </w:p>
        </w:tc>
      </w:tr>
      <w:tr>
        <w:tc>
          <w:tcPr>
            <w:tcW w:type="dxa" w:w="442"/>
            <w:shd w:val="clear" w:color="auto" w:fill="F3F6FA"/>
          </w:tcPr>
          <w:p>
            <w:pPr>
              <w:spacing w:after="20" w:line="240" w:lineRule="auto"/>
            </w:pPr>
            <w:r>
              <w:rPr>
                <w:sz w:val="19"/>
              </w:rPr>
              <w:t>6</w:t>
            </w:r>
          </w:p>
        </w:tc>
        <w:tc>
          <w:tcPr>
            <w:tcW w:type="dxa" w:w="2067"/>
            <w:shd w:val="clear" w:color="auto" w:fill="F3F6FA"/>
          </w:tcPr>
          <w:p>
            <w:pPr>
              <w:spacing w:after="20" w:line="240" w:lineRule="auto"/>
            </w:pPr>
            <w:r>
              <w:rPr>
                <w:sz w:val="19"/>
              </w:rPr>
              <w:t>Leonhardt, Danielsen &amp; Andersen (2025)</w:t>
            </w:r>
          </w:p>
        </w:tc>
        <w:tc>
          <w:tcPr>
            <w:tcW w:type="dxa" w:w="1412"/>
            <w:shd w:val="clear" w:color="auto" w:fill="F3F6FA"/>
          </w:tcPr>
          <w:p>
            <w:pPr>
              <w:spacing w:after="20" w:line="240" w:lineRule="auto"/>
            </w:pPr>
            <w:r>
              <w:rPr>
                <w:sz w:val="19"/>
              </w:rPr>
              <w:t>33 studies</w:t>
            </w:r>
          </w:p>
        </w:tc>
        <w:tc>
          <w:tcPr>
            <w:tcW w:type="dxa" w:w="5149"/>
            <w:shd w:val="clear" w:color="auto" w:fill="F3F6FA"/>
          </w:tcPr>
          <w:p>
            <w:pPr>
              <w:spacing w:after="20" w:line="240" w:lineRule="auto"/>
            </w:pPr>
            <w:r>
              <w:rPr>
                <w:sz w:val="19"/>
              </w:rPr>
              <w:t>&gt; 2 h/day screen time → 51% higher risk of concentration problems</w:t>
            </w:r>
          </w:p>
        </w:tc>
      </w:tr>
      <w:tr>
        <w:tc>
          <w:tcPr>
            <w:tcW w:type="dxa" w:w="442"/>
          </w:tcPr>
          <w:p>
            <w:pPr>
              <w:spacing w:after="20" w:line="240" w:lineRule="auto"/>
            </w:pPr>
            <w:r>
              <w:rPr>
                <w:sz w:val="19"/>
              </w:rPr>
              <w:t>7</w:t>
            </w:r>
          </w:p>
        </w:tc>
        <w:tc>
          <w:tcPr>
            <w:tcW w:type="dxa" w:w="2067"/>
          </w:tcPr>
          <w:p>
            <w:pPr>
              <w:spacing w:after="20" w:line="240" w:lineRule="auto"/>
            </w:pPr>
            <w:r>
              <w:rPr>
                <w:sz w:val="19"/>
              </w:rPr>
              <w:t>Sina et al. (2024), I.Family</w:t>
            </w:r>
          </w:p>
        </w:tc>
        <w:tc>
          <w:tcPr>
            <w:tcW w:type="dxa" w:w="1412"/>
          </w:tcPr>
          <w:p>
            <w:pPr>
              <w:spacing w:after="20" w:line="240" w:lineRule="auto"/>
            </w:pPr>
            <w:r>
              <w:rPr>
                <w:sz w:val="19"/>
              </w:rPr>
              <w:t>8,673 children, 9 EU countries</w:t>
            </w:r>
          </w:p>
        </w:tc>
        <w:tc>
          <w:tcPr>
            <w:tcW w:type="dxa" w:w="5149"/>
          </w:tcPr>
          <w:p>
            <w:pPr>
              <w:spacing w:after="20" w:line="240" w:lineRule="auto"/>
            </w:pPr>
            <w:r>
              <w:rPr>
                <w:sz w:val="19"/>
              </w:rPr>
              <w:t>Each extra hour of smartphone use → higher impulsivity (β = 0.74)</w:t>
            </w:r>
          </w:p>
        </w:tc>
      </w:tr>
      <w:tr>
        <w:tc>
          <w:tcPr>
            <w:tcW w:type="dxa" w:w="442"/>
            <w:shd w:val="clear" w:color="auto" w:fill="F3F6FA"/>
          </w:tcPr>
          <w:p>
            <w:pPr>
              <w:spacing w:after="20" w:line="240" w:lineRule="auto"/>
            </w:pPr>
            <w:r>
              <w:rPr>
                <w:sz w:val="19"/>
              </w:rPr>
              <w:t>8</w:t>
            </w:r>
          </w:p>
        </w:tc>
        <w:tc>
          <w:tcPr>
            <w:tcW w:type="dxa" w:w="2067"/>
            <w:shd w:val="clear" w:color="auto" w:fill="F3F6FA"/>
          </w:tcPr>
          <w:p>
            <w:pPr>
              <w:spacing w:after="20" w:line="240" w:lineRule="auto"/>
            </w:pPr>
            <w:r>
              <w:rPr>
                <w:sz w:val="19"/>
              </w:rPr>
              <w:t>Clemente-Suarez et al. (2024)</w:t>
            </w:r>
          </w:p>
        </w:tc>
        <w:tc>
          <w:tcPr>
            <w:tcW w:type="dxa" w:w="1412"/>
            <w:shd w:val="clear" w:color="auto" w:fill="F3F6FA"/>
          </w:tcPr>
          <w:p>
            <w:pPr>
              <w:spacing w:after="20" w:line="240" w:lineRule="auto"/>
            </w:pPr>
            <w:r>
              <w:rPr>
                <w:sz w:val="19"/>
              </w:rPr>
              <w:t>157+ studies</w:t>
            </w:r>
          </w:p>
        </w:tc>
        <w:tc>
          <w:tcPr>
            <w:tcW w:type="dxa" w:w="5149"/>
            <w:shd w:val="clear" w:color="auto" w:fill="F3F6FA"/>
          </w:tcPr>
          <w:p>
            <w:pPr>
              <w:spacing w:after="20" w:line="240" w:lineRule="auto"/>
            </w:pPr>
            <w:r>
              <w:rPr>
                <w:sz w:val="19"/>
              </w:rPr>
              <w:t>Prolonged screen time reduces sustained attention</w:t>
            </w:r>
          </w:p>
        </w:tc>
      </w:tr>
      <w:tr>
        <w:tc>
          <w:tcPr>
            <w:tcW w:type="dxa" w:w="442"/>
          </w:tcPr>
          <w:p>
            <w:pPr>
              <w:spacing w:after="20" w:line="240" w:lineRule="auto"/>
            </w:pPr>
            <w:r>
              <w:rPr>
                <w:sz w:val="19"/>
              </w:rPr>
              <w:t>9</w:t>
            </w:r>
          </w:p>
        </w:tc>
        <w:tc>
          <w:tcPr>
            <w:tcW w:type="dxa" w:w="2067"/>
          </w:tcPr>
          <w:p>
            <w:pPr>
              <w:spacing w:after="20" w:line="240" w:lineRule="auto"/>
            </w:pPr>
            <w:r>
              <w:rPr>
                <w:sz w:val="19"/>
              </w:rPr>
              <w:t>Vedechkina &amp; Borgonovi (2021)</w:t>
            </w:r>
          </w:p>
        </w:tc>
        <w:tc>
          <w:tcPr>
            <w:tcW w:type="dxa" w:w="1412"/>
          </w:tcPr>
          <w:p>
            <w:pPr>
              <w:spacing w:after="20" w:line="240" w:lineRule="auto"/>
            </w:pPr>
            <w:r>
              <w:rPr>
                <w:sz w:val="19"/>
              </w:rPr>
              <w:t>review</w:t>
            </w:r>
          </w:p>
        </w:tc>
        <w:tc>
          <w:tcPr>
            <w:tcW w:type="dxa" w:w="5149"/>
          </w:tcPr>
          <w:p>
            <w:pPr>
              <w:spacing w:after="20" w:line="240" w:lineRule="auto"/>
            </w:pPr>
            <w:r>
              <w:rPr>
                <w:sz w:val="19"/>
              </w:rPr>
              <w:t>Effects depend on content, user and context</w:t>
            </w:r>
          </w:p>
        </w:tc>
      </w:tr>
      <w:tr>
        <w:tc>
          <w:tcPr>
            <w:tcW w:type="dxa" w:w="442"/>
            <w:shd w:val="clear" w:color="auto" w:fill="F3F6FA"/>
          </w:tcPr>
          <w:p>
            <w:pPr>
              <w:spacing w:after="20" w:line="240" w:lineRule="auto"/>
            </w:pPr>
            <w:r>
              <w:rPr>
                <w:sz w:val="19"/>
              </w:rPr>
              <w:t>10</w:t>
            </w:r>
          </w:p>
        </w:tc>
        <w:tc>
          <w:tcPr>
            <w:tcW w:type="dxa" w:w="2067"/>
            <w:shd w:val="clear" w:color="auto" w:fill="F3F6FA"/>
          </w:tcPr>
          <w:p>
            <w:pPr>
              <w:spacing w:after="20" w:line="240" w:lineRule="auto"/>
            </w:pPr>
            <w:r>
              <w:rPr>
                <w:sz w:val="19"/>
              </w:rPr>
              <w:t>Kundu &amp; Bej (2025)</w:t>
            </w:r>
          </w:p>
        </w:tc>
        <w:tc>
          <w:tcPr>
            <w:tcW w:type="dxa" w:w="1412"/>
            <w:shd w:val="clear" w:color="auto" w:fill="F3F6FA"/>
          </w:tcPr>
          <w:p>
            <w:pPr>
              <w:spacing w:after="20" w:line="240" w:lineRule="auto"/>
            </w:pPr>
            <w:r>
              <w:rPr>
                <w:sz w:val="19"/>
              </w:rPr>
              <w:t>24 studies</w:t>
            </w:r>
          </w:p>
        </w:tc>
        <w:tc>
          <w:tcPr>
            <w:tcW w:type="dxa" w:w="5149"/>
            <w:shd w:val="clear" w:color="auto" w:fill="F3F6FA"/>
          </w:tcPr>
          <w:p>
            <w:pPr>
              <w:spacing w:after="20" w:line="240" w:lineRule="auto"/>
            </w:pPr>
            <w:r>
              <w:rPr>
                <w:sz w:val="19"/>
              </w:rPr>
              <w:t>AI raises engagement but lowers CT and raises anxiety</w:t>
            </w:r>
          </w:p>
        </w:tc>
      </w:tr>
      <w:tr>
        <w:tc>
          <w:tcPr>
            <w:tcW w:type="dxa" w:w="442"/>
          </w:tcPr>
          <w:p>
            <w:pPr>
              <w:spacing w:after="20" w:line="240" w:lineRule="auto"/>
            </w:pPr>
            <w:r>
              <w:rPr>
                <w:sz w:val="19"/>
              </w:rPr>
              <w:t>11</w:t>
            </w:r>
          </w:p>
        </w:tc>
        <w:tc>
          <w:tcPr>
            <w:tcW w:type="dxa" w:w="2067"/>
          </w:tcPr>
          <w:p>
            <w:pPr>
              <w:spacing w:after="20" w:line="240" w:lineRule="auto"/>
            </w:pPr>
            <w:r>
              <w:rPr>
                <w:sz w:val="19"/>
              </w:rPr>
              <w:t>OECD PISA 2022 (2023)</w:t>
            </w:r>
          </w:p>
        </w:tc>
        <w:tc>
          <w:tcPr>
            <w:tcW w:type="dxa" w:w="1412"/>
          </w:tcPr>
          <w:p>
            <w:pPr>
              <w:spacing w:after="20" w:line="240" w:lineRule="auto"/>
            </w:pPr>
            <w:r>
              <w:rPr>
                <w:sz w:val="19"/>
              </w:rPr>
              <w:t>5,373 Latvian students</w:t>
            </w:r>
          </w:p>
        </w:tc>
        <w:tc>
          <w:tcPr>
            <w:tcW w:type="dxa" w:w="5149"/>
          </w:tcPr>
          <w:p>
            <w:pPr>
              <w:spacing w:after="20" w:line="240" w:lineRule="auto"/>
            </w:pPr>
            <w:r>
              <w:rPr>
                <w:sz w:val="19"/>
              </w:rPr>
              <w:t>42% distracted by devices (OECD 30%)</w:t>
            </w:r>
          </w:p>
        </w:tc>
      </w:tr>
    </w:tbl>
    <w:p>
      <w:pPr>
        <w:spacing w:after="40"/>
      </w:pPr>
    </w:p>
    <w:p>
      <w:pPr>
        <w:pStyle w:val="Heading2"/>
      </w:pPr>
      <w:r>
        <w:t>6.3 Current approaches</w:t>
      </w:r>
    </w:p>
    <w:p>
      <w:r>
        <w:t>Cross-sectional surveys combined with regression or mediation analysis (Gerlich; Tian &amp; Zhang), large cohort studies (I.Family) and systematic reviews. Machine learning is rarely used, and when it is, it is applied to LMS logs rather than to offloading behaviour.</w:t>
      </w:r>
    </w:p>
    <w:p>
      <w:pPr>
        <w:pStyle w:val="Heading2"/>
      </w:pPr>
      <w:r>
        <w:t>6.4 Research gaps</w:t>
      </w:r>
    </w:p>
    <w:p>
      <w:pPr>
        <w:pStyle w:val="ListNumber"/>
        <w:numPr>
          <w:ilvl w:val="0"/>
          <w:numId w:val="11"/>
        </w:numPr>
        <w:spacing w:after="60"/>
      </w:pPr>
      <w:r>
        <w:t xml:space="preserve">No studies focus on </w:t>
      </w:r>
      <w:r>
        <w:rPr>
          <w:b/>
        </w:rPr>
        <w:t>lower secondary students in the Baltic region</w:t>
      </w:r>
      <w:r>
        <w:t xml:space="preserve"> (Kundu &amp; Bej, 2025; thesis §2.4).</w:t>
      </w:r>
    </w:p>
    <w:p>
      <w:pPr>
        <w:pStyle w:val="ListNumber"/>
        <w:numPr>
          <w:ilvl w:val="0"/>
          <w:numId w:val="11"/>
        </w:numPr>
        <w:spacing w:after="60"/>
      </w:pPr>
      <w:r>
        <w:t xml:space="preserve">Studies separate </w:t>
      </w:r>
      <w:r>
        <w:rPr>
          <w:i/>
        </w:rPr>
        <w:t>how</w:t>
      </w:r>
      <w:r>
        <w:t xml:space="preserve"> AI is used (copy vs rewrite vs verify) from objective cognitive tests.</w:t>
      </w:r>
    </w:p>
    <w:p>
      <w:pPr>
        <w:pStyle w:val="ListNumber"/>
        <w:numPr>
          <w:ilvl w:val="0"/>
          <w:numId w:val="11"/>
        </w:numPr>
        <w:spacing w:after="60"/>
      </w:pPr>
      <w:r>
        <w:t xml:space="preserve">Results are not turned into </w:t>
      </w:r>
      <w:r>
        <w:rPr>
          <w:b/>
        </w:rPr>
        <w:t>operational tools</w:t>
      </w:r>
      <w:r>
        <w:t xml:space="preserve"> for teachers.</w:t>
      </w:r>
    </w:p>
    <w:p>
      <w:pPr>
        <w:pStyle w:val="ListNumber"/>
        <w:numPr>
          <w:ilvl w:val="0"/>
          <w:numId w:val="11"/>
        </w:numPr>
        <w:spacing w:after="60"/>
      </w:pPr>
      <w:r>
        <w:t>Small school samples lack statistical power. The thesis (n = 12) needed |r| &gt; 0.576.</w:t>
      </w:r>
    </w:p>
    <w:p>
      <w:pPr>
        <w:pStyle w:val="Heading2"/>
      </w:pPr>
      <w:r>
        <w:t>6.5 Comparative analysis</w:t>
      </w:r>
    </w:p>
    <w:tbl>
      <w:tblPr>
        <w:tblStyle w:val="TableGrid"/>
        <w:tblW w:type="auto" w:w="0"/>
        <w:jc w:val="center"/>
        <w:tblLayout w:type="fixed"/>
        <w:tblLook w:firstColumn="1" w:firstRow="1" w:lastColumn="0" w:lastRow="0" w:noHBand="0" w:noVBand="1" w:val="04A0"/>
      </w:tblPr>
      <w:tblGrid>
        <w:gridCol w:w="2855"/>
        <w:gridCol w:w="1196"/>
        <w:gridCol w:w="1074"/>
        <w:gridCol w:w="1121"/>
        <w:gridCol w:w="1411"/>
        <w:gridCol w:w="1411"/>
      </w:tblGrid>
      <w:tr>
        <w:trPr>
          <w:tblHeader w:val="true"/>
        </w:trPr>
        <w:tc>
          <w:tcPr>
            <w:tcW w:type="dxa" w:w="2855"/>
            <w:shd w:val="clear" w:color="auto" w:fill="1F3A5F"/>
          </w:tcPr>
          <w:p>
            <w:pPr>
              <w:spacing w:after="20" w:line="240" w:lineRule="auto"/>
            </w:pPr>
            <w:r>
              <w:rPr>
                <w:b/>
                <w:color w:val="FFFFFF"/>
                <w:sz w:val="19"/>
              </w:rPr>
              <w:t>Criterion</w:t>
            </w:r>
          </w:p>
        </w:tc>
        <w:tc>
          <w:tcPr>
            <w:tcW w:type="dxa" w:w="1196"/>
            <w:shd w:val="clear" w:color="auto" w:fill="1F3A5F"/>
          </w:tcPr>
          <w:p>
            <w:pPr>
              <w:spacing w:after="20" w:line="240" w:lineRule="auto"/>
            </w:pPr>
            <w:r>
              <w:rPr>
                <w:b/>
                <w:color w:val="FFFFFF"/>
                <w:sz w:val="19"/>
              </w:rPr>
              <w:t>LMS analytics</w:t>
            </w:r>
          </w:p>
        </w:tc>
        <w:tc>
          <w:tcPr>
            <w:tcW w:type="dxa" w:w="1075"/>
            <w:shd w:val="clear" w:color="auto" w:fill="1F3A5F"/>
          </w:tcPr>
          <w:p>
            <w:pPr>
              <w:spacing w:after="20" w:line="240" w:lineRule="auto"/>
            </w:pPr>
            <w:r>
              <w:rPr>
                <w:b/>
                <w:color w:val="FFFFFF"/>
                <w:sz w:val="19"/>
              </w:rPr>
              <w:t>AI-text detectors</w:t>
            </w:r>
          </w:p>
        </w:tc>
        <w:tc>
          <w:tcPr>
            <w:tcW w:type="dxa" w:w="1122"/>
            <w:shd w:val="clear" w:color="auto" w:fill="1F3A5F"/>
          </w:tcPr>
          <w:p>
            <w:pPr>
              <w:spacing w:after="20" w:line="240" w:lineRule="auto"/>
            </w:pPr>
            <w:r>
              <w:rPr>
                <w:b/>
                <w:color w:val="FFFFFF"/>
                <w:sz w:val="19"/>
              </w:rPr>
              <w:t>Paper test batteries</w:t>
            </w:r>
          </w:p>
        </w:tc>
        <w:tc>
          <w:tcPr>
            <w:tcW w:type="dxa" w:w="1412"/>
            <w:shd w:val="clear" w:color="auto" w:fill="1F3A5F"/>
          </w:tcPr>
          <w:p>
            <w:pPr>
              <w:spacing w:after="20" w:line="240" w:lineRule="auto"/>
            </w:pPr>
            <w:r>
              <w:rPr>
                <w:b/>
                <w:color w:val="FFFFFF"/>
                <w:sz w:val="19"/>
              </w:rPr>
              <w:t>Thesis (manual)</w:t>
            </w:r>
          </w:p>
        </w:tc>
        <w:tc>
          <w:tcPr>
            <w:tcW w:type="dxa" w:w="1412"/>
            <w:shd w:val="clear" w:color="auto" w:fill="1F3A5F"/>
          </w:tcPr>
          <w:p>
            <w:pPr>
              <w:spacing w:after="20" w:line="240" w:lineRule="auto"/>
            </w:pPr>
            <w:r>
              <w:rPr>
                <w:b/>
                <w:color w:val="FFFFFF"/>
                <w:sz w:val="19"/>
              </w:rPr>
              <w:t>This system</w:t>
            </w:r>
          </w:p>
        </w:tc>
      </w:tr>
      <w:tr>
        <w:tc>
          <w:tcPr>
            <w:tcW w:type="dxa" w:w="2855"/>
          </w:tcPr>
          <w:p>
            <w:pPr>
              <w:spacing w:after="20" w:line="240" w:lineRule="auto"/>
            </w:pPr>
            <w:r>
              <w:rPr>
                <w:sz w:val="19"/>
              </w:rPr>
              <w:t>Measures AI-use behaviour</w:t>
            </w:r>
          </w:p>
        </w:tc>
        <w:tc>
          <w:tcPr>
            <w:tcW w:type="dxa" w:w="1196"/>
          </w:tcPr>
          <w:p>
            <w:pPr>
              <w:spacing w:after="20" w:line="240" w:lineRule="auto"/>
            </w:pPr>
            <w:r>
              <w:rPr>
                <w:sz w:val="19"/>
              </w:rPr>
              <w:t>✗</w:t>
            </w:r>
          </w:p>
        </w:tc>
        <w:tc>
          <w:tcPr>
            <w:tcW w:type="dxa" w:w="1075"/>
          </w:tcPr>
          <w:p>
            <w:pPr>
              <w:spacing w:after="20" w:line="240" w:lineRule="auto"/>
            </w:pPr>
            <w:r>
              <w:rPr>
                <w:sz w:val="19"/>
              </w:rPr>
              <w:t>partly (text)</w:t>
            </w:r>
          </w:p>
        </w:tc>
        <w:tc>
          <w:tcPr>
            <w:tcW w:type="dxa" w:w="1122"/>
          </w:tcPr>
          <w:p>
            <w:pPr>
              <w:spacing w:after="20" w:line="240" w:lineRule="auto"/>
            </w:pPr>
            <w:r>
              <w:rPr>
                <w:sz w:val="19"/>
              </w:rPr>
              <w:t>✗</w:t>
            </w:r>
          </w:p>
        </w:tc>
        <w:tc>
          <w:tcPr>
            <w:tcW w:type="dxa" w:w="1412"/>
          </w:tcPr>
          <w:p>
            <w:pPr>
              <w:spacing w:after="20" w:line="240" w:lineRule="auto"/>
            </w:pPr>
            <w:r>
              <w:rPr>
                <w:sz w:val="19"/>
              </w:rPr>
              <w:t>✓</w:t>
            </w:r>
          </w:p>
        </w:tc>
        <w:tc>
          <w:tcPr>
            <w:tcW w:type="dxa" w:w="1412"/>
          </w:tcPr>
          <w:p>
            <w:pPr>
              <w:spacing w:after="20" w:line="240" w:lineRule="auto"/>
            </w:pPr>
            <w:r>
              <w:rPr>
                <w:sz w:val="19"/>
              </w:rPr>
              <w:t>✓</w:t>
            </w:r>
          </w:p>
        </w:tc>
      </w:tr>
      <w:tr>
        <w:tc>
          <w:tcPr>
            <w:tcW w:type="dxa" w:w="2855"/>
            <w:shd w:val="clear" w:color="auto" w:fill="F3F6FA"/>
          </w:tcPr>
          <w:p>
            <w:pPr>
              <w:spacing w:after="20" w:line="240" w:lineRule="auto"/>
            </w:pPr>
            <w:r>
              <w:rPr>
                <w:sz w:val="19"/>
              </w:rPr>
              <w:t>Offloading composite</w:t>
            </w:r>
          </w:p>
        </w:tc>
        <w:tc>
          <w:tcPr>
            <w:tcW w:type="dxa" w:w="1196"/>
            <w:shd w:val="clear" w:color="auto" w:fill="F3F6FA"/>
          </w:tcPr>
          <w:p>
            <w:pPr>
              <w:spacing w:after="20" w:line="240" w:lineRule="auto"/>
            </w:pPr>
            <w:r>
              <w:rPr>
                <w:sz w:val="19"/>
              </w:rPr>
              <w:t>✗</w:t>
            </w:r>
          </w:p>
        </w:tc>
        <w:tc>
          <w:tcPr>
            <w:tcW w:type="dxa" w:w="1075"/>
            <w:shd w:val="clear" w:color="auto" w:fill="F3F6FA"/>
          </w:tcPr>
          <w:p>
            <w:pPr>
              <w:spacing w:after="20" w:line="240" w:lineRule="auto"/>
            </w:pPr>
            <w:r>
              <w:rPr>
                <w:sz w:val="19"/>
              </w:rPr>
              <w:t>✗</w:t>
            </w:r>
          </w:p>
        </w:tc>
        <w:tc>
          <w:tcPr>
            <w:tcW w:type="dxa" w:w="1122"/>
            <w:shd w:val="clear" w:color="auto" w:fill="F3F6FA"/>
          </w:tcPr>
          <w:p>
            <w:pPr>
              <w:spacing w:after="20" w:line="240" w:lineRule="auto"/>
            </w:pPr>
            <w:r>
              <w:rPr>
                <w:sz w:val="19"/>
              </w:rPr>
              <w:t>✗</w:t>
            </w:r>
          </w:p>
        </w:tc>
        <w:tc>
          <w:tcPr>
            <w:tcW w:type="dxa" w:w="1412"/>
            <w:shd w:val="clear" w:color="auto" w:fill="F3F6FA"/>
          </w:tcPr>
          <w:p>
            <w:pPr>
              <w:spacing w:after="20" w:line="240" w:lineRule="auto"/>
            </w:pPr>
            <w:r>
              <w:rPr>
                <w:sz w:val="19"/>
              </w:rPr>
              <w:t>✓ (manual)</w:t>
            </w:r>
          </w:p>
        </w:tc>
        <w:tc>
          <w:tcPr>
            <w:tcW w:type="dxa" w:w="1412"/>
            <w:shd w:val="clear" w:color="auto" w:fill="F3F6FA"/>
          </w:tcPr>
          <w:p>
            <w:pPr>
              <w:spacing w:after="20" w:line="240" w:lineRule="auto"/>
            </w:pPr>
            <w:r>
              <w:rPr>
                <w:sz w:val="19"/>
              </w:rPr>
              <w:t>✓ (automatic)</w:t>
            </w:r>
          </w:p>
        </w:tc>
      </w:tr>
      <w:tr>
        <w:tc>
          <w:tcPr>
            <w:tcW w:type="dxa" w:w="2855"/>
          </w:tcPr>
          <w:p>
            <w:pPr>
              <w:spacing w:after="20" w:line="240" w:lineRule="auto"/>
            </w:pPr>
            <w:r>
              <w:rPr>
                <w:sz w:val="19"/>
              </w:rPr>
              <w:t>Objective attention / CT tests</w:t>
            </w:r>
          </w:p>
        </w:tc>
        <w:tc>
          <w:tcPr>
            <w:tcW w:type="dxa" w:w="1196"/>
          </w:tcPr>
          <w:p>
            <w:pPr>
              <w:spacing w:after="20" w:line="240" w:lineRule="auto"/>
            </w:pPr>
            <w:r>
              <w:rPr>
                <w:sz w:val="19"/>
              </w:rPr>
              <w:t>✗</w:t>
            </w:r>
          </w:p>
        </w:tc>
        <w:tc>
          <w:tcPr>
            <w:tcW w:type="dxa" w:w="1075"/>
          </w:tcPr>
          <w:p>
            <w:pPr>
              <w:spacing w:after="20" w:line="240" w:lineRule="auto"/>
            </w:pPr>
            <w:r>
              <w:rPr>
                <w:sz w:val="19"/>
              </w:rPr>
              <w:t>✗</w:t>
            </w:r>
          </w:p>
        </w:tc>
        <w:tc>
          <w:tcPr>
            <w:tcW w:type="dxa" w:w="1122"/>
          </w:tcPr>
          <w:p>
            <w:pPr>
              <w:spacing w:after="20" w:line="240" w:lineRule="auto"/>
            </w:pPr>
            <w:r>
              <w:rPr>
                <w:sz w:val="19"/>
              </w:rPr>
              <w:t>✓</w:t>
            </w:r>
          </w:p>
        </w:tc>
        <w:tc>
          <w:tcPr>
            <w:tcW w:type="dxa" w:w="1412"/>
          </w:tcPr>
          <w:p>
            <w:pPr>
              <w:spacing w:after="20" w:line="240" w:lineRule="auto"/>
            </w:pPr>
            <w:r>
              <w:rPr>
                <w:sz w:val="19"/>
              </w:rPr>
              <w:t>✓</w:t>
            </w:r>
          </w:p>
        </w:tc>
        <w:tc>
          <w:tcPr>
            <w:tcW w:type="dxa" w:w="1412"/>
          </w:tcPr>
          <w:p>
            <w:pPr>
              <w:spacing w:after="20" w:line="240" w:lineRule="auto"/>
            </w:pPr>
            <w:r>
              <w:rPr>
                <w:sz w:val="19"/>
              </w:rPr>
              <w:t>✓</w:t>
            </w:r>
          </w:p>
        </w:tc>
      </w:tr>
      <w:tr>
        <w:tc>
          <w:tcPr>
            <w:tcW w:type="dxa" w:w="2855"/>
            <w:shd w:val="clear" w:color="auto" w:fill="F3F6FA"/>
          </w:tcPr>
          <w:p>
            <w:pPr>
              <w:spacing w:after="20" w:line="240" w:lineRule="auto"/>
            </w:pPr>
            <w:r>
              <w:rPr>
                <w:sz w:val="19"/>
              </w:rPr>
              <w:t>Statistical testing</w:t>
            </w:r>
          </w:p>
        </w:tc>
        <w:tc>
          <w:tcPr>
            <w:tcW w:type="dxa" w:w="1196"/>
            <w:shd w:val="clear" w:color="auto" w:fill="F3F6FA"/>
          </w:tcPr>
          <w:p>
            <w:pPr>
              <w:spacing w:after="20" w:line="240" w:lineRule="auto"/>
            </w:pPr>
            <w:r>
              <w:rPr>
                <w:sz w:val="19"/>
              </w:rPr>
              <w:t>limited</w:t>
            </w:r>
          </w:p>
        </w:tc>
        <w:tc>
          <w:tcPr>
            <w:tcW w:type="dxa" w:w="1075"/>
            <w:shd w:val="clear" w:color="auto" w:fill="F3F6FA"/>
          </w:tcPr>
          <w:p>
            <w:pPr>
              <w:spacing w:after="20" w:line="240" w:lineRule="auto"/>
            </w:pPr>
            <w:r>
              <w:rPr>
                <w:sz w:val="19"/>
              </w:rPr>
              <w:t>✗</w:t>
            </w:r>
          </w:p>
        </w:tc>
        <w:tc>
          <w:tcPr>
            <w:tcW w:type="dxa" w:w="1122"/>
            <w:shd w:val="clear" w:color="auto" w:fill="F3F6FA"/>
          </w:tcPr>
          <w:p>
            <w:pPr>
              <w:spacing w:after="20" w:line="240" w:lineRule="auto"/>
            </w:pPr>
            <w:r>
              <w:rPr>
                <w:sz w:val="19"/>
              </w:rPr>
              <w:t>✗</w:t>
            </w:r>
          </w:p>
        </w:tc>
        <w:tc>
          <w:tcPr>
            <w:tcW w:type="dxa" w:w="1412"/>
            <w:shd w:val="clear" w:color="auto" w:fill="F3F6FA"/>
          </w:tcPr>
          <w:p>
            <w:pPr>
              <w:spacing w:after="20" w:line="240" w:lineRule="auto"/>
            </w:pPr>
            <w:r>
              <w:rPr>
                <w:sz w:val="19"/>
              </w:rPr>
              <w:t>descriptive</w:t>
            </w:r>
          </w:p>
        </w:tc>
        <w:tc>
          <w:tcPr>
            <w:tcW w:type="dxa" w:w="1412"/>
            <w:shd w:val="clear" w:color="auto" w:fill="F3F6FA"/>
          </w:tcPr>
          <w:p>
            <w:pPr>
              <w:spacing w:after="20" w:line="240" w:lineRule="auto"/>
            </w:pPr>
            <w:r>
              <w:rPr>
                <w:sz w:val="19"/>
              </w:rPr>
              <w:t>r, p, t-test, d</w:t>
            </w:r>
          </w:p>
        </w:tc>
      </w:tr>
      <w:tr>
        <w:tc>
          <w:tcPr>
            <w:tcW w:type="dxa" w:w="2855"/>
          </w:tcPr>
          <w:p>
            <w:pPr>
              <w:spacing w:after="20" w:line="240" w:lineRule="auto"/>
            </w:pPr>
            <w:r>
              <w:rPr>
                <w:sz w:val="19"/>
              </w:rPr>
              <w:t>Predictive risk screening</w:t>
            </w:r>
          </w:p>
        </w:tc>
        <w:tc>
          <w:tcPr>
            <w:tcW w:type="dxa" w:w="1196"/>
          </w:tcPr>
          <w:p>
            <w:pPr>
              <w:spacing w:after="20" w:line="240" w:lineRule="auto"/>
            </w:pPr>
            <w:r>
              <w:rPr>
                <w:sz w:val="19"/>
              </w:rPr>
              <w:t>grades only</w:t>
            </w:r>
          </w:p>
        </w:tc>
        <w:tc>
          <w:tcPr>
            <w:tcW w:type="dxa" w:w="1075"/>
          </w:tcPr>
          <w:p>
            <w:pPr>
              <w:spacing w:after="20" w:line="240" w:lineRule="auto"/>
            </w:pPr>
            <w:r>
              <w:rPr>
                <w:sz w:val="19"/>
              </w:rPr>
              <w:t>✗</w:t>
            </w:r>
          </w:p>
        </w:tc>
        <w:tc>
          <w:tcPr>
            <w:tcW w:type="dxa" w:w="1122"/>
          </w:tcPr>
          <w:p>
            <w:pPr>
              <w:spacing w:after="20" w:line="240" w:lineRule="auto"/>
            </w:pPr>
            <w:r>
              <w:rPr>
                <w:sz w:val="19"/>
              </w:rPr>
              <w:t>✗</w:t>
            </w:r>
          </w:p>
        </w:tc>
        <w:tc>
          <w:tcPr>
            <w:tcW w:type="dxa" w:w="1412"/>
          </w:tcPr>
          <w:p>
            <w:pPr>
              <w:spacing w:after="20" w:line="240" w:lineRule="auto"/>
            </w:pPr>
            <w:r>
              <w:rPr>
                <w:sz w:val="19"/>
              </w:rPr>
              <w:t>✗</w:t>
            </w:r>
          </w:p>
        </w:tc>
        <w:tc>
          <w:tcPr>
            <w:tcW w:type="dxa" w:w="1412"/>
          </w:tcPr>
          <w:p>
            <w:pPr>
              <w:spacing w:after="20" w:line="240" w:lineRule="auto"/>
            </w:pPr>
            <w:r>
              <w:rPr>
                <w:sz w:val="19"/>
              </w:rPr>
              <w:t>✓</w:t>
            </w:r>
          </w:p>
        </w:tc>
      </w:tr>
      <w:tr>
        <w:tc>
          <w:tcPr>
            <w:tcW w:type="dxa" w:w="2855"/>
            <w:shd w:val="clear" w:color="auto" w:fill="F3F6FA"/>
          </w:tcPr>
          <w:p>
            <w:pPr>
              <w:spacing w:after="20" w:line="240" w:lineRule="auto"/>
            </w:pPr>
            <w:r>
              <w:rPr>
                <w:sz w:val="19"/>
              </w:rPr>
              <w:t>Data entry / CRUD, reproducible</w:t>
            </w:r>
          </w:p>
        </w:tc>
        <w:tc>
          <w:tcPr>
            <w:tcW w:type="dxa" w:w="1196"/>
            <w:shd w:val="clear" w:color="auto" w:fill="F3F6FA"/>
          </w:tcPr>
          <w:p>
            <w:pPr>
              <w:spacing w:after="20" w:line="240" w:lineRule="auto"/>
            </w:pPr>
            <w:r>
              <w:rPr>
                <w:sz w:val="19"/>
              </w:rPr>
              <w:t>✓</w:t>
            </w:r>
          </w:p>
        </w:tc>
        <w:tc>
          <w:tcPr>
            <w:tcW w:type="dxa" w:w="1075"/>
            <w:shd w:val="clear" w:color="auto" w:fill="F3F6FA"/>
          </w:tcPr>
          <w:p>
            <w:pPr>
              <w:spacing w:after="20" w:line="240" w:lineRule="auto"/>
            </w:pPr>
            <w:r>
              <w:rPr>
                <w:sz w:val="19"/>
              </w:rPr>
              <w:t>–</w:t>
            </w:r>
          </w:p>
        </w:tc>
        <w:tc>
          <w:tcPr>
            <w:tcW w:type="dxa" w:w="1122"/>
            <w:shd w:val="clear" w:color="auto" w:fill="F3F6FA"/>
          </w:tcPr>
          <w:p>
            <w:pPr>
              <w:spacing w:after="20" w:line="240" w:lineRule="auto"/>
            </w:pPr>
            <w:r>
              <w:rPr>
                <w:sz w:val="19"/>
              </w:rPr>
              <w:t>✗</w:t>
            </w:r>
          </w:p>
        </w:tc>
        <w:tc>
          <w:tcPr>
            <w:tcW w:type="dxa" w:w="1412"/>
            <w:shd w:val="clear" w:color="auto" w:fill="F3F6FA"/>
          </w:tcPr>
          <w:p>
            <w:pPr>
              <w:spacing w:after="20" w:line="240" w:lineRule="auto"/>
            </w:pPr>
            <w:r>
              <w:rPr>
                <w:sz w:val="19"/>
              </w:rPr>
              <w:t>✗</w:t>
            </w:r>
          </w:p>
        </w:tc>
        <w:tc>
          <w:tcPr>
            <w:tcW w:type="dxa" w:w="1412"/>
            <w:shd w:val="clear" w:color="auto" w:fill="F3F6FA"/>
          </w:tcPr>
          <w:p>
            <w:pPr>
              <w:spacing w:after="20" w:line="240" w:lineRule="auto"/>
            </w:pPr>
            <w:r>
              <w:rPr>
                <w:sz w:val="19"/>
              </w:rPr>
              <w:t>✓</w:t>
            </w:r>
          </w:p>
        </w:tc>
      </w:tr>
    </w:tbl>
    <w:p>
      <w:pPr>
        <w:spacing w:after="40"/>
      </w:pPr>
    </w:p>
    <w:p>
      <w:pPr>
        <w:pStyle w:val="Heading1"/>
      </w:pPr>
      <w:r>
        <w:t>7. Project Scope</w:t>
      </w:r>
    </w:p>
    <w:p>
      <w:r>
        <w:rPr>
          <w:b/>
        </w:rPr>
        <w:t>In scope:</w:t>
      </w:r>
      <w:r>
        <w:t xml:space="preserve"> data model of the thesis instruments; synthetic data generator; SQLite storage; CRUD; dashboard with filters; correlation and group statistics; two binary classifiers with evaluation and retraining; prediction form and JSON API; CSV export; tests; documentation.</w:t>
      </w:r>
    </w:p>
    <w:p>
      <w:r>
        <w:rPr>
          <w:b/>
        </w:rPr>
        <w:t>Out of scope:</w:t>
      </w:r>
      <w:r>
        <w:t xml:space="preserve"> collecting real data from minors through the app; user authentication and roles; integration with the school's e-class/Mykoob/Moodle; digital administration of the cognitive tests; causal inference; deep learning.</w:t>
      </w:r>
    </w:p>
    <w:p>
      <w:r>
        <w:rPr>
          <w:b/>
        </w:rPr>
        <w:t>Limitations:</w:t>
      </w:r>
      <w:r>
        <w:t xml:space="preserve"> the data are synthetic, so effect sizes reflect the simulation assumptions (calibrated to the literature) and are not empirical findings. The attention index and the "low" cut-offs (&lt; 55, ≤ 4/8) are pragmatic choices, not clinical norms. The design is cross-sectional.</w:t>
      </w:r>
    </w:p>
    <w:p>
      <w:r>
        <w:rPr>
          <w:b/>
        </w:rPr>
        <w:t>Constraints:</w:t>
      </w:r>
      <w:r>
        <w:t xml:space="preserve"> GDPR and the ethics of research with minors (parental consent, pseudonymous IDs); a one-semester timeline; single developer; runs locally on a laptop.</w:t>
      </w:r>
    </w:p>
    <w:p>
      <w:pPr>
        <w:pStyle w:val="Heading1"/>
      </w:pPr>
      <w:r>
        <w:t>8. Proposed Methodology</w:t>
      </w:r>
    </w:p>
    <w:p>
      <w:r>
        <w:rPr>
          <w:b/>
        </w:rPr>
        <w:t>System architecture.</w:t>
      </w:r>
      <w:r>
        <w:t xml:space="preserve"> A three-tier web application: presentation (Flask + Jinja2 templates + matplotlib PNG charts), application logic (analysis, ML and derivation modules), and data (CSV source → SQLite DB, joblib models).</w:t>
      </w:r>
    </w:p>
    <w:p>
      <w:r>
        <w:rPr>
          <w:b/>
        </w:rPr>
        <w:t>Workflow.</w:t>
      </w:r>
      <w:r>
        <w:t xml:space="preserve"> Requirements from the thesis → instrument-to-schema mapping → data generation → load and derive → EDA and statistics → model training and selection → web UI → testing → documentation.</w:t>
      </w:r>
    </w:p>
    <w:p>
      <w:pPr>
        <w:keepNext/>
        <w:spacing w:before="120"/>
      </w:pPr>
      <w:r>
        <w:rPr>
          <w:b/>
        </w:rPr>
        <w:t>Data pipeline</w:t>
      </w:r>
    </w:p>
    <w:p>
      <w:pPr>
        <w:pStyle w:val="ListNumber"/>
        <w:numPr>
          <w:ilvl w:val="0"/>
          <w:numId w:val="12"/>
        </w:numPr>
        <w:spacing w:after="60"/>
      </w:pPr>
      <w:r>
        <w:rPr>
          <w:rFonts w:ascii="Consolas" w:hAnsi="Consolas"/>
          <w:sz w:val="20"/>
        </w:rPr>
        <w:t>generate_dataset.py</w:t>
      </w:r>
      <w:r>
        <w:t xml:space="preserve"> uses a latent-variable simulation (seed 2026). Latent ability, information literacy and an offloading tendency produce the Likert answers. Attention and critical thinking are generated with a negative offloading effect (β ≈ −0.40 and −0.45 SD) plus ability, sleep and screen-time terms, then mapped to test score ranges. About 3% of answers are set missing.</w:t>
      </w:r>
    </w:p>
    <w:p>
      <w:pPr>
        <w:pStyle w:val="ListNumber"/>
        <w:numPr>
          <w:ilvl w:val="0"/>
          <w:numId w:val="12"/>
        </w:numPr>
        <w:spacing w:after="60"/>
      </w:pPr>
      <w:r>
        <w:rPr>
          <w:rFonts w:ascii="Consolas" w:hAnsi="Consolas"/>
          <w:sz w:val="20"/>
        </w:rPr>
        <w:t>db.init_db()</w:t>
      </w:r>
      <w:r>
        <w:t xml:space="preserve"> loads the CSV into SQLite and runs </w:t>
      </w:r>
      <w:r>
        <w:rPr>
          <w:rFonts w:ascii="Consolas" w:hAnsi="Consolas"/>
          <w:sz w:val="20"/>
        </w:rPr>
        <w:t>derive()</w:t>
      </w:r>
      <w:r>
        <w:t xml:space="preserve"> on every row.</w:t>
      </w:r>
    </w:p>
    <w:p>
      <w:pPr>
        <w:pStyle w:val="ListNumber"/>
        <w:numPr>
          <w:ilvl w:val="0"/>
          <w:numId w:val="12"/>
        </w:numPr>
        <w:spacing w:after="60"/>
      </w:pPr>
      <w:r>
        <w:rPr>
          <w:rFonts w:ascii="Consolas" w:hAnsi="Consolas"/>
          <w:sz w:val="20"/>
        </w:rPr>
        <w:t>derive()</w:t>
      </w:r>
      <w:r>
        <w:t xml:space="preserve"> computes offloading = mean(Q4, Q8, Q9, 6−Q10, 6−Q11, 6−Q12), the AI-use group (Q4 ≤ Rarely → Low), CT total, the attention index and the risk flags.</w:t>
      </w:r>
    </w:p>
    <w:p>
      <w:pPr>
        <w:pStyle w:val="ListNumber"/>
        <w:numPr>
          <w:ilvl w:val="0"/>
          <w:numId w:val="12"/>
        </w:numPr>
        <w:spacing w:after="60"/>
      </w:pPr>
      <w:r>
        <w:rPr>
          <w:rFonts w:ascii="Consolas" w:hAnsi="Consolas"/>
          <w:sz w:val="20"/>
        </w:rPr>
        <w:t>analysis.py</w:t>
      </w:r>
      <w:r>
        <w:t xml:space="preserve"> computes statistics; </w:t>
      </w:r>
      <w:r>
        <w:rPr>
          <w:rFonts w:ascii="Consolas" w:hAnsi="Consolas"/>
          <w:sz w:val="20"/>
        </w:rPr>
        <w:t>ml.py</w:t>
      </w:r>
      <w:r>
        <w:t xml:space="preserve"> trains the models; </w:t>
      </w:r>
      <w:r>
        <w:rPr>
          <w:rFonts w:ascii="Consolas" w:hAnsi="Consolas"/>
          <w:sz w:val="20"/>
        </w:rPr>
        <w:t>app.py</w:t>
      </w:r>
      <w:r>
        <w:t xml:space="preserve"> serves the results.</w:t>
      </w:r>
    </w:p>
    <w:p>
      <w:r>
        <w:rPr>
          <w:b/>
        </w:rPr>
        <w:t>Development methodology.</w:t>
      </w:r>
      <w:r>
        <w:t xml:space="preserve"> Iterative and incremental (lightweight Agile/Kanban, one-week iterations), following the work packages in §14. Tests are added per module.</w:t>
      </w:r>
    </w:p>
    <w:p>
      <w:pPr>
        <w:keepNext/>
        <w:spacing w:before="120"/>
      </w:pPr>
      <w:r>
        <w:rPr>
          <w:b/>
        </w:rPr>
        <w:t>ML/AI methodology</w:t>
      </w:r>
    </w:p>
    <w:p>
      <w:pPr>
        <w:pStyle w:val="ListBullet"/>
        <w:spacing w:after="60"/>
      </w:pPr>
      <w:r>
        <w:rPr>
          <w:i/>
        </w:rPr>
        <w:t>Targets:</w:t>
      </w:r>
      <w:r>
        <w:t xml:space="preserve"> </w:t>
      </w:r>
      <w:r>
        <w:rPr>
          <w:rFonts w:ascii="Consolas" w:hAnsi="Consolas"/>
          <w:sz w:val="20"/>
        </w:rPr>
        <w:t>low_attention</w:t>
      </w:r>
      <w:r>
        <w:t xml:space="preserve"> (attention index &lt; 55, prevalence 25%) and </w:t>
      </w:r>
      <w:r>
        <w:rPr>
          <w:rFonts w:ascii="Consolas" w:hAnsi="Consolas"/>
          <w:sz w:val="20"/>
        </w:rPr>
        <w:t>low_ct</w:t>
      </w:r>
      <w:r>
        <w:t xml:space="preserve"> (CT ≤ 4/8, prevalence 37%).</w:t>
      </w:r>
    </w:p>
    <w:p>
      <w:pPr>
        <w:pStyle w:val="ListBullet"/>
        <w:spacing w:after="60"/>
      </w:pPr>
      <w:r>
        <w:rPr>
          <w:i/>
        </w:rPr>
        <w:t>Features (no leakage, no test scores):</w:t>
      </w:r>
      <w:r>
        <w:t xml:space="preserve"> grade, gender, main tool, main purpose, Q4, Q7–Q12, offloading score, screen time, sleep.</w:t>
      </w:r>
    </w:p>
    <w:p>
      <w:pPr>
        <w:pStyle w:val="ListBullet"/>
        <w:spacing w:after="60"/>
      </w:pPr>
      <w:r>
        <w:rPr>
          <w:i/>
        </w:rPr>
        <w:t>Preprocessing</w:t>
      </w:r>
      <w:r>
        <w:t xml:space="preserve"> inside a scikit-learn </w:t>
      </w:r>
      <w:r>
        <w:rPr>
          <w:rFonts w:ascii="Consolas" w:hAnsi="Consolas"/>
          <w:sz w:val="20"/>
        </w:rPr>
        <w:t>Pipeline</w:t>
      </w:r>
      <w:r>
        <w:t>/</w:t>
      </w:r>
      <w:r>
        <w:rPr>
          <w:rFonts w:ascii="Consolas" w:hAnsi="Consolas"/>
          <w:sz w:val="20"/>
        </w:rPr>
        <w:t>ColumnTransformer</w:t>
      </w:r>
      <w:r>
        <w:t>: median or mode imputation, StandardScaler, OneHotEncoder.</w:t>
      </w:r>
    </w:p>
    <w:p>
      <w:pPr>
        <w:pStyle w:val="ListBullet"/>
        <w:spacing w:after="60"/>
      </w:pPr>
      <w:r>
        <w:rPr>
          <w:i/>
        </w:rPr>
        <w:t>Models:</w:t>
      </w:r>
      <w:r>
        <w:t xml:space="preserve"> Logistic Regression (balanced, C = 0.5) for interpretable coefficients, and Random Forest (400 trees, depth ≤ 6, balanced) for non-linear interactions. A majority-class baseline is included.</w:t>
      </w:r>
    </w:p>
    <w:p>
      <w:pPr>
        <w:pStyle w:val="ListBullet"/>
        <w:spacing w:after="60"/>
      </w:pPr>
      <w:r>
        <w:rPr>
          <w:i/>
        </w:rPr>
        <w:t>Validation:</w:t>
      </w:r>
      <w:r>
        <w:t xml:space="preserve"> stratified 75/25 hold-out plus 5-fold stratified CV. Selection by F1 of the at-risk class, because missing an at-risk student is costlier than a false alarm.</w:t>
      </w:r>
    </w:p>
    <w:p>
      <w:pPr>
        <w:pStyle w:val="Heading1"/>
      </w:pPr>
      <w:r>
        <w:t>9. System Architecture Diagram</w:t>
      </w:r>
    </w:p>
    <w:p>
      <w:pPr>
        <w:pStyle w:val="Heading2"/>
      </w:pPr>
      <w:r>
        <w:t>9.1 Workflow diagram</w:t>
      </w:r>
    </w:p>
    <w:p>
      <w:pPr>
        <w:keepNext/>
        <w:jc w:val="center"/>
      </w:pPr>
      <w:r>
        <w:drawing>
          <wp:inline xmlns:a="http://schemas.openxmlformats.org/drawingml/2006/main" xmlns:pic="http://schemas.openxmlformats.org/drawingml/2006/picture">
            <wp:extent cx="5760000" cy="2267621"/>
            <wp:docPr id="1" name="Picture 1"/>
            <wp:cNvGraphicFramePr>
              <a:graphicFrameLocks noChangeAspect="1"/>
            </wp:cNvGraphicFramePr>
            <a:graphic>
              <a:graphicData uri="http://schemas.openxmlformats.org/drawingml/2006/picture">
                <pic:pic>
                  <pic:nvPicPr>
                    <pic:cNvPr id="0" name="fig_9_1_workflow.png"/>
                    <pic:cNvPicPr/>
                  </pic:nvPicPr>
                  <pic:blipFill>
                    <a:blip r:embed="rId10"/>
                    <a:stretch>
                      <a:fillRect/>
                    </a:stretch>
                  </pic:blipFill>
                  <pic:spPr>
                    <a:xfrm>
                      <a:off x="0" y="0"/>
                      <a:ext cx="5760000" cy="2267621"/>
                    </a:xfrm>
                    <a:prstGeom prst="rect"/>
                  </pic:spPr>
                </pic:pic>
              </a:graphicData>
            </a:graphic>
          </wp:inline>
        </w:drawing>
      </w:r>
    </w:p>
    <w:p>
      <w:pPr>
        <w:pStyle w:val="Caption"/>
        <w:jc w:val="center"/>
      </w:pPr>
      <w:r>
        <w:t>Fig. 9.1 Workflow diagram</w:t>
      </w:r>
    </w:p>
    <w:p>
      <w:pPr>
        <w:pStyle w:val="Heading2"/>
      </w:pPr>
      <w:r>
        <w:t>9.2 System architecture</w:t>
      </w:r>
    </w:p>
    <w:p>
      <w:pPr>
        <w:keepNext/>
        <w:jc w:val="center"/>
      </w:pPr>
      <w:r>
        <w:drawing>
          <wp:inline xmlns:a="http://schemas.openxmlformats.org/drawingml/2006/main" xmlns:pic="http://schemas.openxmlformats.org/drawingml/2006/picture">
            <wp:extent cx="5760000" cy="3201347"/>
            <wp:docPr id="2" name="Picture 2"/>
            <wp:cNvGraphicFramePr>
              <a:graphicFrameLocks noChangeAspect="1"/>
            </wp:cNvGraphicFramePr>
            <a:graphic>
              <a:graphicData uri="http://schemas.openxmlformats.org/drawingml/2006/picture">
                <pic:pic>
                  <pic:nvPicPr>
                    <pic:cNvPr id="0" name="fig_9_2_architecture.png"/>
                    <pic:cNvPicPr/>
                  </pic:nvPicPr>
                  <pic:blipFill>
                    <a:blip r:embed="rId11"/>
                    <a:stretch>
                      <a:fillRect/>
                    </a:stretch>
                  </pic:blipFill>
                  <pic:spPr>
                    <a:xfrm>
                      <a:off x="0" y="0"/>
                      <a:ext cx="5760000" cy="3201347"/>
                    </a:xfrm>
                    <a:prstGeom prst="rect"/>
                  </pic:spPr>
                </pic:pic>
              </a:graphicData>
            </a:graphic>
          </wp:inline>
        </w:drawing>
      </w:r>
    </w:p>
    <w:p>
      <w:pPr>
        <w:pStyle w:val="Caption"/>
        <w:jc w:val="center"/>
      </w:pPr>
      <w:r>
        <w:t>Fig. 9.2 System architecture</w:t>
      </w:r>
    </w:p>
    <w:p>
      <w:pPr>
        <w:pStyle w:val="Heading2"/>
      </w:pPr>
      <w:r>
        <w:t>9.3 Data flow diagram (level 1)</w:t>
      </w:r>
    </w:p>
    <w:p>
      <w:pPr>
        <w:keepNext/>
        <w:jc w:val="center"/>
      </w:pPr>
      <w:r>
        <w:drawing>
          <wp:inline xmlns:a="http://schemas.openxmlformats.org/drawingml/2006/main" xmlns:pic="http://schemas.openxmlformats.org/drawingml/2006/picture">
            <wp:extent cx="5760000" cy="2546526"/>
            <wp:docPr id="3" name="Picture 3"/>
            <wp:cNvGraphicFramePr>
              <a:graphicFrameLocks noChangeAspect="1"/>
            </wp:cNvGraphicFramePr>
            <a:graphic>
              <a:graphicData uri="http://schemas.openxmlformats.org/drawingml/2006/picture">
                <pic:pic>
                  <pic:nvPicPr>
                    <pic:cNvPr id="0" name="fig_9_3_dfd.png"/>
                    <pic:cNvPicPr/>
                  </pic:nvPicPr>
                  <pic:blipFill>
                    <a:blip r:embed="rId12"/>
                    <a:stretch>
                      <a:fillRect/>
                    </a:stretch>
                  </pic:blipFill>
                  <pic:spPr>
                    <a:xfrm>
                      <a:off x="0" y="0"/>
                      <a:ext cx="5760000" cy="2546526"/>
                    </a:xfrm>
                    <a:prstGeom prst="rect"/>
                  </pic:spPr>
                </pic:pic>
              </a:graphicData>
            </a:graphic>
          </wp:inline>
        </w:drawing>
      </w:r>
    </w:p>
    <w:p>
      <w:pPr>
        <w:pStyle w:val="Caption"/>
        <w:jc w:val="center"/>
      </w:pPr>
      <w:r>
        <w:t>Fig. 9.3 Data flow diagram (level 1)</w:t>
      </w:r>
    </w:p>
    <w:p>
      <w:pPr>
        <w:pStyle w:val="Heading2"/>
      </w:pPr>
      <w:r>
        <w:t>9.4 ER diagram</w:t>
      </w:r>
    </w:p>
    <w:p>
      <w:r>
        <w:t>The prototype uses a single denormalised table for portability. The production schema below normalises it.</w:t>
      </w:r>
    </w:p>
    <w:p>
      <w:pPr>
        <w:keepNext/>
        <w:jc w:val="center"/>
      </w:pPr>
      <w:r>
        <w:drawing>
          <wp:inline xmlns:a="http://schemas.openxmlformats.org/drawingml/2006/main" xmlns:pic="http://schemas.openxmlformats.org/drawingml/2006/picture">
            <wp:extent cx="5760000" cy="3107368"/>
            <wp:docPr id="4" name="Picture 4"/>
            <wp:cNvGraphicFramePr>
              <a:graphicFrameLocks noChangeAspect="1"/>
            </wp:cNvGraphicFramePr>
            <a:graphic>
              <a:graphicData uri="http://schemas.openxmlformats.org/drawingml/2006/picture">
                <pic:pic>
                  <pic:nvPicPr>
                    <pic:cNvPr id="0" name="fig_9_4_er.png"/>
                    <pic:cNvPicPr/>
                  </pic:nvPicPr>
                  <pic:blipFill>
                    <a:blip r:embed="rId13"/>
                    <a:stretch>
                      <a:fillRect/>
                    </a:stretch>
                  </pic:blipFill>
                  <pic:spPr>
                    <a:xfrm>
                      <a:off x="0" y="0"/>
                      <a:ext cx="5760000" cy="3107368"/>
                    </a:xfrm>
                    <a:prstGeom prst="rect"/>
                  </pic:spPr>
                </pic:pic>
              </a:graphicData>
            </a:graphic>
          </wp:inline>
        </w:drawing>
      </w:r>
    </w:p>
    <w:p>
      <w:pPr>
        <w:pStyle w:val="Caption"/>
        <w:jc w:val="center"/>
      </w:pPr>
      <w:r>
        <w:t>Fig. 9.4 ER diagram (production schema)</w:t>
      </w:r>
    </w:p>
    <w:p>
      <w:pPr>
        <w:pStyle w:val="Heading2"/>
      </w:pPr>
      <w:r>
        <w:t>9.5 ML pipeline</w:t>
      </w:r>
    </w:p>
    <w:p>
      <w:pPr>
        <w:keepNext/>
        <w:jc w:val="center"/>
      </w:pPr>
      <w:r>
        <w:drawing>
          <wp:inline xmlns:a="http://schemas.openxmlformats.org/drawingml/2006/main" xmlns:pic="http://schemas.openxmlformats.org/drawingml/2006/picture">
            <wp:extent cx="5760000" cy="1578044"/>
            <wp:docPr id="5" name="Picture 5"/>
            <wp:cNvGraphicFramePr>
              <a:graphicFrameLocks noChangeAspect="1"/>
            </wp:cNvGraphicFramePr>
            <a:graphic>
              <a:graphicData uri="http://schemas.openxmlformats.org/drawingml/2006/picture">
                <pic:pic>
                  <pic:nvPicPr>
                    <pic:cNvPr id="0" name="fig_9_5_ml.png"/>
                    <pic:cNvPicPr/>
                  </pic:nvPicPr>
                  <pic:blipFill>
                    <a:blip r:embed="rId14"/>
                    <a:stretch>
                      <a:fillRect/>
                    </a:stretch>
                  </pic:blipFill>
                  <pic:spPr>
                    <a:xfrm>
                      <a:off x="0" y="0"/>
                      <a:ext cx="5760000" cy="1578044"/>
                    </a:xfrm>
                    <a:prstGeom prst="rect"/>
                  </pic:spPr>
                </pic:pic>
              </a:graphicData>
            </a:graphic>
          </wp:inline>
        </w:drawing>
      </w:r>
    </w:p>
    <w:p>
      <w:pPr>
        <w:pStyle w:val="Caption"/>
        <w:jc w:val="center"/>
      </w:pPr>
      <w:r>
        <w:t>Fig. 9.5 ML pipeline</w:t>
      </w:r>
    </w:p>
    <w:p>
      <w:pPr>
        <w:pStyle w:val="Heading1"/>
      </w:pPr>
      <w:r>
        <w:t>10. Technical Implementation</w:t>
      </w:r>
    </w:p>
    <w:tbl>
      <w:tblPr>
        <w:tblStyle w:val="TableGrid"/>
        <w:tblW w:type="auto" w:w="0"/>
        <w:jc w:val="center"/>
        <w:tblLayout w:type="fixed"/>
        <w:tblLook w:firstColumn="1" w:firstRow="1" w:lastColumn="0" w:lastRow="0" w:noHBand="0" w:noVBand="1" w:val="04A0"/>
      </w:tblPr>
      <w:tblGrid>
        <w:gridCol w:w="1304"/>
        <w:gridCol w:w="4254"/>
        <w:gridCol w:w="3513"/>
      </w:tblGrid>
      <w:tr>
        <w:trPr>
          <w:tblHeader w:val="true"/>
        </w:trPr>
        <w:tc>
          <w:tcPr>
            <w:tcW w:type="dxa" w:w="1304"/>
            <w:shd w:val="clear" w:color="auto" w:fill="1F3A5F"/>
          </w:tcPr>
          <w:p>
            <w:pPr>
              <w:spacing w:after="20" w:line="240" w:lineRule="auto"/>
            </w:pPr>
            <w:r>
              <w:rPr>
                <w:b/>
                <w:color w:val="FFFFFF"/>
                <w:sz w:val="19"/>
              </w:rPr>
              <w:t>Layer</w:t>
            </w:r>
          </w:p>
        </w:tc>
        <w:tc>
          <w:tcPr>
            <w:tcW w:type="dxa" w:w="4254"/>
            <w:shd w:val="clear" w:color="auto" w:fill="1F3A5F"/>
          </w:tcPr>
          <w:p>
            <w:pPr>
              <w:spacing w:after="20" w:line="240" w:lineRule="auto"/>
            </w:pPr>
            <w:r>
              <w:rPr>
                <w:b/>
                <w:color w:val="FFFFFF"/>
                <w:sz w:val="19"/>
              </w:rPr>
              <w:t>Technology</w:t>
            </w:r>
          </w:p>
        </w:tc>
        <w:tc>
          <w:tcPr>
            <w:tcW w:type="dxa" w:w="3513"/>
            <w:shd w:val="clear" w:color="auto" w:fill="1F3A5F"/>
          </w:tcPr>
          <w:p>
            <w:pPr>
              <w:spacing w:after="20" w:line="240" w:lineRule="auto"/>
            </w:pPr>
            <w:r>
              <w:rPr>
                <w:b/>
                <w:color w:val="FFFFFF"/>
                <w:sz w:val="19"/>
              </w:rPr>
              <w:t>Use</w:t>
            </w:r>
          </w:p>
        </w:tc>
      </w:tr>
      <w:tr>
        <w:tc>
          <w:tcPr>
            <w:tcW w:type="dxa" w:w="1304"/>
          </w:tcPr>
          <w:p>
            <w:pPr>
              <w:spacing w:after="20" w:line="240" w:lineRule="auto"/>
            </w:pPr>
            <w:r>
              <w:rPr>
                <w:b/>
                <w:sz w:val="19"/>
              </w:rPr>
              <w:t>Frontend</w:t>
            </w:r>
          </w:p>
        </w:tc>
        <w:tc>
          <w:tcPr>
            <w:tcW w:type="dxa" w:w="4254"/>
          </w:tcPr>
          <w:p>
            <w:pPr>
              <w:spacing w:after="20" w:line="240" w:lineRule="auto"/>
            </w:pPr>
            <w:r>
              <w:rPr>
                <w:sz w:val="19"/>
              </w:rPr>
              <w:t>HTML5, Jinja2, CSS3 (custom, responsive grid)</w:t>
            </w:r>
          </w:p>
        </w:tc>
        <w:tc>
          <w:tcPr>
            <w:tcW w:type="dxa" w:w="3513"/>
          </w:tcPr>
          <w:p>
            <w:pPr>
              <w:spacing w:after="20" w:line="240" w:lineRule="auto"/>
            </w:pPr>
            <w:r>
              <w:rPr>
                <w:sz w:val="19"/>
              </w:rPr>
              <w:t xml:space="preserve">6 pages, forms with client-side </w:t>
            </w:r>
            <w:r>
              <w:rPr>
                <w:rFonts w:ascii="Consolas" w:hAnsi="Consolas"/>
                <w:sz w:val="19"/>
              </w:rPr>
              <w:t>min</w:t>
            </w:r>
            <w:r>
              <w:rPr>
                <w:sz w:val="19"/>
              </w:rPr>
              <w:t>/</w:t>
            </w:r>
            <w:r>
              <w:rPr>
                <w:rFonts w:ascii="Consolas" w:hAnsi="Consolas"/>
                <w:sz w:val="19"/>
              </w:rPr>
              <w:t>max</w:t>
            </w:r>
            <w:r>
              <w:rPr>
                <w:sz w:val="19"/>
              </w:rPr>
              <w:t>, confirm dialog on delete</w:t>
            </w:r>
          </w:p>
        </w:tc>
      </w:tr>
      <w:tr>
        <w:tc>
          <w:tcPr>
            <w:tcW w:type="dxa" w:w="1304"/>
            <w:shd w:val="clear" w:color="auto" w:fill="F3F6FA"/>
          </w:tcPr>
          <w:p>
            <w:pPr>
              <w:spacing w:after="20" w:line="240" w:lineRule="auto"/>
            </w:pPr>
            <w:r>
              <w:rPr>
                <w:b/>
                <w:sz w:val="19"/>
              </w:rPr>
              <w:t>Backend</w:t>
            </w:r>
          </w:p>
        </w:tc>
        <w:tc>
          <w:tcPr>
            <w:tcW w:type="dxa" w:w="4254"/>
            <w:shd w:val="clear" w:color="auto" w:fill="F3F6FA"/>
          </w:tcPr>
          <w:p>
            <w:pPr>
              <w:spacing w:after="20" w:line="240" w:lineRule="auto"/>
            </w:pPr>
            <w:r>
              <w:rPr>
                <w:sz w:val="19"/>
              </w:rPr>
              <w:t>Python 3.13, Flask 3.1</w:t>
            </w:r>
          </w:p>
        </w:tc>
        <w:tc>
          <w:tcPr>
            <w:tcW w:type="dxa" w:w="3513"/>
            <w:shd w:val="clear" w:color="auto" w:fill="F3F6FA"/>
          </w:tcPr>
          <w:p>
            <w:pPr>
              <w:spacing w:after="20" w:line="240" w:lineRule="auto"/>
            </w:pPr>
            <w:r>
              <w:rPr>
                <w:sz w:val="19"/>
              </w:rPr>
              <w:t xml:space="preserve">Routing, form validation, REST endpoints </w:t>
            </w:r>
            <w:r>
              <w:rPr>
                <w:rFonts w:ascii="Consolas" w:hAnsi="Consolas"/>
                <w:sz w:val="19"/>
              </w:rPr>
              <w:t>/api/records</w:t>
            </w:r>
            <w:r>
              <w:rPr>
                <w:sz w:val="19"/>
              </w:rPr>
              <w:t xml:space="preserve"> and </w:t>
            </w:r>
            <w:r>
              <w:rPr>
                <w:rFonts w:ascii="Consolas" w:hAnsi="Consolas"/>
                <w:sz w:val="19"/>
              </w:rPr>
              <w:t>/api/predict</w:t>
            </w:r>
            <w:r>
              <w:rPr>
                <w:sz w:val="19"/>
              </w:rPr>
              <w:t>, CSV export</w:t>
            </w:r>
          </w:p>
        </w:tc>
      </w:tr>
      <w:tr>
        <w:tc>
          <w:tcPr>
            <w:tcW w:type="dxa" w:w="1304"/>
          </w:tcPr>
          <w:p>
            <w:pPr>
              <w:spacing w:after="20" w:line="240" w:lineRule="auto"/>
            </w:pPr>
            <w:r>
              <w:rPr>
                <w:b/>
                <w:sz w:val="19"/>
              </w:rPr>
              <w:t>Database</w:t>
            </w:r>
          </w:p>
        </w:tc>
        <w:tc>
          <w:tcPr>
            <w:tcW w:type="dxa" w:w="4254"/>
          </w:tcPr>
          <w:p>
            <w:pPr>
              <w:spacing w:after="20" w:line="240" w:lineRule="auto"/>
            </w:pPr>
            <w:r>
              <w:rPr>
                <w:sz w:val="19"/>
              </w:rPr>
              <w:t xml:space="preserve">SQLite 3 (file </w:t>
            </w:r>
            <w:r>
              <w:rPr>
                <w:rFonts w:ascii="Consolas" w:hAnsi="Consolas"/>
                <w:sz w:val="19"/>
              </w:rPr>
              <w:t>data/ai_offloading.db</w:t>
            </w:r>
            <w:r>
              <w:rPr>
                <w:sz w:val="19"/>
              </w:rPr>
              <w:t>)</w:t>
            </w:r>
          </w:p>
        </w:tc>
        <w:tc>
          <w:tcPr>
            <w:tcW w:type="dxa" w:w="3513"/>
          </w:tcPr>
          <w:p>
            <w:pPr>
              <w:spacing w:after="20" w:line="240" w:lineRule="auto"/>
            </w:pPr>
            <w:r>
              <w:rPr>
                <w:rFonts w:ascii="Consolas" w:hAnsi="Consolas"/>
                <w:sz w:val="19"/>
              </w:rPr>
              <w:t>students</w:t>
            </w:r>
            <w:r>
              <w:rPr>
                <w:sz w:val="19"/>
              </w:rPr>
              <w:t xml:space="preserve"> table with a CHECK constraint, parameterised queries</w:t>
            </w:r>
          </w:p>
        </w:tc>
      </w:tr>
      <w:tr>
        <w:tc>
          <w:tcPr>
            <w:tcW w:type="dxa" w:w="1304"/>
            <w:shd w:val="clear" w:color="auto" w:fill="F3F6FA"/>
          </w:tcPr>
          <w:p>
            <w:pPr>
              <w:spacing w:after="20" w:line="240" w:lineRule="auto"/>
            </w:pPr>
            <w:r>
              <w:rPr>
                <w:b/>
                <w:sz w:val="19"/>
              </w:rPr>
              <w:t>Data science libraries</w:t>
            </w:r>
          </w:p>
        </w:tc>
        <w:tc>
          <w:tcPr>
            <w:tcW w:type="dxa" w:w="4254"/>
            <w:shd w:val="clear" w:color="auto" w:fill="F3F6FA"/>
          </w:tcPr>
          <w:p>
            <w:pPr>
              <w:spacing w:after="20" w:line="240" w:lineRule="auto"/>
            </w:pPr>
            <w:r>
              <w:rPr>
                <w:sz w:val="19"/>
              </w:rPr>
              <w:t>pandas, NumPy, SciPy (pearsonr, spearmanr, Welch t-test), scikit-learn (Pipeline, LR, RF, metrics), matplotlib, joblib</w:t>
            </w:r>
          </w:p>
        </w:tc>
        <w:tc>
          <w:tcPr>
            <w:tcW w:type="dxa" w:w="3513"/>
            <w:shd w:val="clear" w:color="auto" w:fill="F3F6FA"/>
          </w:tcPr>
          <w:p>
            <w:pPr>
              <w:spacing w:after="20" w:line="240" w:lineRule="auto"/>
            </w:pPr>
            <w:r>
              <w:rPr>
                <w:sz w:val="19"/>
              </w:rPr>
              <w:t>Analysis, ML, charts, model persistence</w:t>
            </w:r>
          </w:p>
        </w:tc>
      </w:tr>
      <w:tr>
        <w:tc>
          <w:tcPr>
            <w:tcW w:type="dxa" w:w="1304"/>
          </w:tcPr>
          <w:p>
            <w:pPr>
              <w:spacing w:after="20" w:line="240" w:lineRule="auto"/>
            </w:pPr>
            <w:r>
              <w:rPr>
                <w:b/>
                <w:sz w:val="19"/>
              </w:rPr>
              <w:t>Deployment</w:t>
            </w:r>
          </w:p>
        </w:tc>
        <w:tc>
          <w:tcPr>
            <w:tcW w:type="dxa" w:w="4254"/>
          </w:tcPr>
          <w:p>
            <w:pPr>
              <w:spacing w:after="20" w:line="240" w:lineRule="auto"/>
            </w:pPr>
            <w:r>
              <w:rPr>
                <w:sz w:val="19"/>
              </w:rPr>
              <w:t>Local (</w:t>
            </w:r>
            <w:r>
              <w:rPr>
                <w:rFonts w:ascii="Consolas" w:hAnsi="Consolas"/>
                <w:sz w:val="19"/>
              </w:rPr>
              <w:t>python app.py</w:t>
            </w:r>
            <w:r>
              <w:rPr>
                <w:sz w:val="19"/>
              </w:rPr>
              <w:t>). Production options: gunicorn behind nginx, Render/Railway/PythonAnywhere, Docker</w:t>
            </w:r>
          </w:p>
        </w:tc>
        <w:tc>
          <w:tcPr>
            <w:tcW w:type="dxa" w:w="3513"/>
          </w:tcPr>
          <w:p>
            <w:pPr>
              <w:spacing w:after="20" w:line="240" w:lineRule="auto"/>
            </w:pPr>
          </w:p>
        </w:tc>
      </w:tr>
    </w:tbl>
    <w:p>
      <w:pPr>
        <w:spacing w:after="40"/>
      </w:pPr>
    </w:p>
    <w:p>
      <w:r>
        <w:t xml:space="preserve">Key code modules: </w:t>
      </w:r>
      <w:r>
        <w:rPr>
          <w:rFonts w:ascii="Consolas" w:hAnsi="Consolas"/>
          <w:sz w:val="20"/>
        </w:rPr>
        <w:t>db.py</w:t>
      </w:r>
      <w:r>
        <w:t xml:space="preserve"> (≈190 lines: schema, CRUD, </w:t>
      </w:r>
      <w:r>
        <w:rPr>
          <w:rFonts w:ascii="Consolas" w:hAnsi="Consolas"/>
          <w:sz w:val="20"/>
        </w:rPr>
        <w:t>derive</w:t>
      </w:r>
      <w:r>
        <w:t xml:space="preserve">, </w:t>
      </w:r>
      <w:r>
        <w:rPr>
          <w:rFonts w:ascii="Consolas" w:hAnsi="Consolas"/>
          <w:sz w:val="20"/>
        </w:rPr>
        <w:t>parse_form</w:t>
      </w:r>
      <w:r>
        <w:t xml:space="preserve">), </w:t>
      </w:r>
      <w:r>
        <w:rPr>
          <w:rFonts w:ascii="Consolas" w:hAnsi="Consolas"/>
          <w:sz w:val="20"/>
        </w:rPr>
        <w:t>analysis.py</w:t>
      </w:r>
      <w:r>
        <w:t xml:space="preserve">, </w:t>
      </w:r>
      <w:r>
        <w:rPr>
          <w:rFonts w:ascii="Consolas" w:hAnsi="Consolas"/>
          <w:sz w:val="20"/>
        </w:rPr>
        <w:t>ml.py</w:t>
      </w:r>
      <w:r>
        <w:t xml:space="preserve"> (train / load / predict), </w:t>
      </w:r>
      <w:r>
        <w:rPr>
          <w:rFonts w:ascii="Consolas" w:hAnsi="Consolas"/>
          <w:sz w:val="20"/>
        </w:rPr>
        <w:t>charts.py</w:t>
      </w:r>
      <w:r>
        <w:t xml:space="preserve"> (11 chart types), </w:t>
      </w:r>
      <w:r>
        <w:rPr>
          <w:rFonts w:ascii="Consolas" w:hAnsi="Consolas"/>
          <w:sz w:val="20"/>
        </w:rPr>
        <w:t>app.py</w:t>
      </w:r>
      <w:r>
        <w:t xml:space="preserve"> (14 routes), </w:t>
      </w:r>
      <w:r>
        <w:rPr>
          <w:rFonts w:ascii="Consolas" w:hAnsi="Consolas"/>
          <w:sz w:val="20"/>
        </w:rPr>
        <w:t>tests/test_app.py</w:t>
      </w:r>
      <w:r>
        <w:t xml:space="preserve"> (8 tests).</w:t>
      </w:r>
    </w:p>
    <w:p>
      <w:pPr>
        <w:pStyle w:val="Heading1"/>
      </w:pPr>
      <w:r>
        <w:t>11. Dataset Description</w:t>
      </w:r>
    </w:p>
    <w:p>
      <w:r>
        <w:rPr>
          <w:b/>
        </w:rPr>
        <w:t>Source.</w:t>
      </w:r>
      <w:r>
        <w:t xml:space="preserve"> Synthetic data generated by </w:t>
      </w:r>
      <w:r>
        <w:rPr>
          <w:rFonts w:ascii="Consolas" w:hAnsi="Consolas"/>
          <w:sz w:val="20"/>
        </w:rPr>
        <w:t>generate_dataset.py</w:t>
      </w:r>
      <w:r>
        <w:t xml:space="preserve"> (seed 2026, N = 180), calibrated to the thesis sample and instruments (Chapter 3, Attachment A, Chapter 4). The real thesis results (n = 12, Luria and CT per student, Tables 4.4 and 4.6) are kept separately in </w:t>
      </w:r>
      <w:r>
        <w:rPr>
          <w:rFonts w:ascii="Consolas" w:hAnsi="Consolas"/>
          <w:sz w:val="20"/>
        </w:rPr>
        <w:t>data/thesis_reference_n12.csv</w:t>
      </w:r>
      <w:r>
        <w:t xml:space="preserve"> and used for comparison. Synthetic data was chosen because (a) the real sample is too small for ML, and (b) data on minors cannot be published under GDPR.</w:t>
      </w:r>
    </w:p>
    <w:p>
      <w:pPr>
        <w:keepNext/>
        <w:spacing w:before="120"/>
      </w:pPr>
      <w:r>
        <w:rPr>
          <w:b/>
        </w:rPr>
        <w:t>Calibration vs thesis</w:t>
      </w:r>
    </w:p>
    <w:tbl>
      <w:tblPr>
        <w:tblStyle w:val="TableGrid"/>
        <w:tblW w:type="auto" w:w="0"/>
        <w:jc w:val="center"/>
        <w:tblLayout w:type="fixed"/>
        <w:tblLook w:firstColumn="1" w:firstRow="1" w:lastColumn="0" w:lastRow="0" w:noHBand="0" w:noVBand="1" w:val="04A0"/>
      </w:tblPr>
      <w:tblGrid>
        <w:gridCol w:w="4935"/>
        <w:gridCol w:w="1838"/>
        <w:gridCol w:w="2298"/>
      </w:tblGrid>
      <w:tr>
        <w:trPr>
          <w:tblHeader w:val="true"/>
        </w:trPr>
        <w:tc>
          <w:tcPr>
            <w:tcW w:type="dxa" w:w="4935"/>
            <w:shd w:val="clear" w:color="auto" w:fill="1F3A5F"/>
          </w:tcPr>
          <w:p>
            <w:pPr>
              <w:spacing w:after="20" w:line="240" w:lineRule="auto"/>
            </w:pPr>
            <w:r>
              <w:rPr>
                <w:b/>
                <w:color w:val="FFFFFF"/>
                <w:sz w:val="19"/>
              </w:rPr>
              <w:t>Indicator</w:t>
            </w:r>
          </w:p>
        </w:tc>
        <w:tc>
          <w:tcPr>
            <w:tcW w:type="dxa" w:w="1838"/>
            <w:shd w:val="clear" w:color="auto" w:fill="1F3A5F"/>
          </w:tcPr>
          <w:p>
            <w:pPr>
              <w:spacing w:after="20" w:line="240" w:lineRule="auto"/>
            </w:pPr>
            <w:r>
              <w:rPr>
                <w:b/>
                <w:color w:val="FFFFFF"/>
                <w:sz w:val="19"/>
              </w:rPr>
              <w:t>Thesis (n = 12)</w:t>
            </w:r>
          </w:p>
        </w:tc>
        <w:tc>
          <w:tcPr>
            <w:tcW w:type="dxa" w:w="2298"/>
            <w:shd w:val="clear" w:color="auto" w:fill="1F3A5F"/>
          </w:tcPr>
          <w:p>
            <w:pPr>
              <w:spacing w:after="20" w:line="240" w:lineRule="auto"/>
            </w:pPr>
            <w:r>
              <w:rPr>
                <w:b/>
                <w:color w:val="FFFFFF"/>
                <w:sz w:val="19"/>
              </w:rPr>
              <w:t>Simulation (N = 180)</w:t>
            </w:r>
          </w:p>
        </w:tc>
      </w:tr>
      <w:tr>
        <w:tc>
          <w:tcPr>
            <w:tcW w:type="dxa" w:w="4935"/>
          </w:tcPr>
          <w:p>
            <w:pPr>
              <w:spacing w:after="20" w:line="240" w:lineRule="auto"/>
            </w:pPr>
            <w:r>
              <w:rPr>
                <w:sz w:val="19"/>
              </w:rPr>
              <w:t>Use AI for homework</w:t>
            </w:r>
          </w:p>
        </w:tc>
        <w:tc>
          <w:tcPr>
            <w:tcW w:type="dxa" w:w="1838"/>
          </w:tcPr>
          <w:p>
            <w:pPr>
              <w:spacing w:after="20" w:line="240" w:lineRule="auto"/>
            </w:pPr>
            <w:r>
              <w:rPr>
                <w:sz w:val="19"/>
              </w:rPr>
              <w:t>100%</w:t>
            </w:r>
          </w:p>
        </w:tc>
        <w:tc>
          <w:tcPr>
            <w:tcW w:type="dxa" w:w="2298"/>
          </w:tcPr>
          <w:p>
            <w:pPr>
              <w:spacing w:after="20" w:line="240" w:lineRule="auto"/>
            </w:pPr>
            <w:r>
              <w:rPr>
                <w:sz w:val="19"/>
              </w:rPr>
              <w:t>98%</w:t>
            </w:r>
          </w:p>
        </w:tc>
      </w:tr>
      <w:tr>
        <w:tc>
          <w:tcPr>
            <w:tcW w:type="dxa" w:w="4935"/>
            <w:shd w:val="clear" w:color="auto" w:fill="F3F6FA"/>
          </w:tcPr>
          <w:p>
            <w:pPr>
              <w:spacing w:after="20" w:line="240" w:lineRule="auto"/>
            </w:pPr>
            <w:r>
              <w:rPr>
                <w:sz w:val="19"/>
              </w:rPr>
              <w:t>ChatGPT main tool</w:t>
            </w:r>
          </w:p>
        </w:tc>
        <w:tc>
          <w:tcPr>
            <w:tcW w:type="dxa" w:w="1838"/>
            <w:shd w:val="clear" w:color="auto" w:fill="F3F6FA"/>
          </w:tcPr>
          <w:p>
            <w:pPr>
              <w:spacing w:after="20" w:line="240" w:lineRule="auto"/>
            </w:pPr>
            <w:r>
              <w:rPr>
                <w:sz w:val="19"/>
              </w:rPr>
              <w:t>67%</w:t>
            </w:r>
          </w:p>
        </w:tc>
        <w:tc>
          <w:tcPr>
            <w:tcW w:type="dxa" w:w="2298"/>
            <w:shd w:val="clear" w:color="auto" w:fill="F3F6FA"/>
          </w:tcPr>
          <w:p>
            <w:pPr>
              <w:spacing w:after="20" w:line="240" w:lineRule="auto"/>
            </w:pPr>
            <w:r>
              <w:rPr>
                <w:sz w:val="19"/>
              </w:rPr>
              <w:t>61%</w:t>
            </w:r>
          </w:p>
        </w:tc>
      </w:tr>
      <w:tr>
        <w:tc>
          <w:tcPr>
            <w:tcW w:type="dxa" w:w="4935"/>
          </w:tcPr>
          <w:p>
            <w:pPr>
              <w:spacing w:after="20" w:line="240" w:lineRule="auto"/>
            </w:pPr>
            <w:r>
              <w:rPr>
                <w:sz w:val="19"/>
              </w:rPr>
              <w:t>AI frequency Rarely/Sometimes</w:t>
            </w:r>
          </w:p>
        </w:tc>
        <w:tc>
          <w:tcPr>
            <w:tcW w:type="dxa" w:w="1838"/>
          </w:tcPr>
          <w:p>
            <w:pPr>
              <w:spacing w:after="20" w:line="240" w:lineRule="auto"/>
            </w:pPr>
            <w:r>
              <w:rPr>
                <w:sz w:val="19"/>
              </w:rPr>
              <w:t>91%</w:t>
            </w:r>
          </w:p>
        </w:tc>
        <w:tc>
          <w:tcPr>
            <w:tcW w:type="dxa" w:w="2298"/>
          </w:tcPr>
          <w:p>
            <w:pPr>
              <w:spacing w:after="20" w:line="240" w:lineRule="auto"/>
            </w:pPr>
            <w:r>
              <w:rPr>
                <w:sz w:val="19"/>
              </w:rPr>
              <w:t>79%</w:t>
            </w:r>
          </w:p>
        </w:tc>
      </w:tr>
      <w:tr>
        <w:tc>
          <w:tcPr>
            <w:tcW w:type="dxa" w:w="4935"/>
            <w:shd w:val="clear" w:color="auto" w:fill="F3F6FA"/>
          </w:tcPr>
          <w:p>
            <w:pPr>
              <w:spacing w:after="20" w:line="240" w:lineRule="auto"/>
            </w:pPr>
            <w:r>
              <w:rPr>
                <w:sz w:val="19"/>
              </w:rPr>
              <w:t>Never/rarely copy AI text</w:t>
            </w:r>
          </w:p>
        </w:tc>
        <w:tc>
          <w:tcPr>
            <w:tcW w:type="dxa" w:w="1838"/>
            <w:shd w:val="clear" w:color="auto" w:fill="F3F6FA"/>
          </w:tcPr>
          <w:p>
            <w:pPr>
              <w:spacing w:after="20" w:line="240" w:lineRule="auto"/>
            </w:pPr>
            <w:r>
              <w:rPr>
                <w:sz w:val="19"/>
              </w:rPr>
              <w:t>92%</w:t>
            </w:r>
          </w:p>
        </w:tc>
        <w:tc>
          <w:tcPr>
            <w:tcW w:type="dxa" w:w="2298"/>
            <w:shd w:val="clear" w:color="auto" w:fill="F3F6FA"/>
          </w:tcPr>
          <w:p>
            <w:pPr>
              <w:spacing w:after="20" w:line="240" w:lineRule="auto"/>
            </w:pPr>
            <w:r>
              <w:rPr>
                <w:sz w:val="19"/>
              </w:rPr>
              <w:t>75%</w:t>
            </w:r>
          </w:p>
        </w:tc>
      </w:tr>
      <w:tr>
        <w:tc>
          <w:tcPr>
            <w:tcW w:type="dxa" w:w="4935"/>
          </w:tcPr>
          <w:p>
            <w:pPr>
              <w:spacing w:after="20" w:line="240" w:lineRule="auto"/>
            </w:pPr>
            <w:r>
              <w:rPr>
                <w:sz w:val="19"/>
              </w:rPr>
              <w:t>Rewrite often/always</w:t>
            </w:r>
          </w:p>
        </w:tc>
        <w:tc>
          <w:tcPr>
            <w:tcW w:type="dxa" w:w="1838"/>
          </w:tcPr>
          <w:p>
            <w:pPr>
              <w:spacing w:after="20" w:line="240" w:lineRule="auto"/>
            </w:pPr>
            <w:r>
              <w:rPr>
                <w:sz w:val="19"/>
              </w:rPr>
              <w:t>75%</w:t>
            </w:r>
          </w:p>
        </w:tc>
        <w:tc>
          <w:tcPr>
            <w:tcW w:type="dxa" w:w="2298"/>
          </w:tcPr>
          <w:p>
            <w:pPr>
              <w:spacing w:after="20" w:line="240" w:lineRule="auto"/>
            </w:pPr>
            <w:r>
              <w:rPr>
                <w:sz w:val="19"/>
              </w:rPr>
              <w:t>73%</w:t>
            </w:r>
          </w:p>
        </w:tc>
      </w:tr>
      <w:tr>
        <w:tc>
          <w:tcPr>
            <w:tcW w:type="dxa" w:w="4935"/>
            <w:shd w:val="clear" w:color="auto" w:fill="F3F6FA"/>
          </w:tcPr>
          <w:p>
            <w:pPr>
              <w:spacing w:after="20" w:line="240" w:lineRule="auto"/>
            </w:pPr>
            <w:r>
              <w:rPr>
                <w:sz w:val="19"/>
              </w:rPr>
              <w:t>Mean offloading score (1–5)</w:t>
            </w:r>
          </w:p>
        </w:tc>
        <w:tc>
          <w:tcPr>
            <w:tcW w:type="dxa" w:w="1838"/>
            <w:shd w:val="clear" w:color="auto" w:fill="F3F6FA"/>
          </w:tcPr>
          <w:p>
            <w:pPr>
              <w:spacing w:after="20" w:line="240" w:lineRule="auto"/>
            </w:pPr>
            <w:r>
              <w:rPr>
                <w:sz w:val="19"/>
              </w:rPr>
              <w:t>2.00</w:t>
            </w:r>
          </w:p>
        </w:tc>
        <w:tc>
          <w:tcPr>
            <w:tcW w:type="dxa" w:w="2298"/>
            <w:shd w:val="clear" w:color="auto" w:fill="F3F6FA"/>
          </w:tcPr>
          <w:p>
            <w:pPr>
              <w:spacing w:after="20" w:line="240" w:lineRule="auto"/>
            </w:pPr>
            <w:r>
              <w:rPr>
                <w:sz w:val="19"/>
              </w:rPr>
              <w:t>2.21</w:t>
            </w:r>
          </w:p>
        </w:tc>
      </w:tr>
      <w:tr>
        <w:tc>
          <w:tcPr>
            <w:tcW w:type="dxa" w:w="4935"/>
          </w:tcPr>
          <w:p>
            <w:pPr>
              <w:spacing w:after="20" w:line="240" w:lineRule="auto"/>
            </w:pPr>
            <w:r>
              <w:rPr>
                <w:sz w:val="19"/>
              </w:rPr>
              <w:t>Luria Trial 1 mean</w:t>
            </w:r>
          </w:p>
        </w:tc>
        <w:tc>
          <w:tcPr>
            <w:tcW w:type="dxa" w:w="1838"/>
          </w:tcPr>
          <w:p>
            <w:pPr>
              <w:spacing w:after="20" w:line="240" w:lineRule="auto"/>
            </w:pPr>
            <w:r>
              <w:rPr>
                <w:sz w:val="19"/>
              </w:rPr>
              <w:t>6.8</w:t>
            </w:r>
          </w:p>
        </w:tc>
        <w:tc>
          <w:tcPr>
            <w:tcW w:type="dxa" w:w="2298"/>
          </w:tcPr>
          <w:p>
            <w:pPr>
              <w:spacing w:after="20" w:line="240" w:lineRule="auto"/>
            </w:pPr>
            <w:r>
              <w:rPr>
                <w:sz w:val="19"/>
              </w:rPr>
              <w:t>6.8</w:t>
            </w:r>
          </w:p>
        </w:tc>
      </w:tr>
      <w:tr>
        <w:tc>
          <w:tcPr>
            <w:tcW w:type="dxa" w:w="4935"/>
            <w:shd w:val="clear" w:color="auto" w:fill="F3F6FA"/>
          </w:tcPr>
          <w:p>
            <w:pPr>
              <w:spacing w:after="20" w:line="240" w:lineRule="auto"/>
            </w:pPr>
            <w:r>
              <w:rPr>
                <w:sz w:val="19"/>
              </w:rPr>
              <w:t>CT total mean (/8)</w:t>
            </w:r>
          </w:p>
        </w:tc>
        <w:tc>
          <w:tcPr>
            <w:tcW w:type="dxa" w:w="1838"/>
            <w:shd w:val="clear" w:color="auto" w:fill="F3F6FA"/>
          </w:tcPr>
          <w:p>
            <w:pPr>
              <w:spacing w:after="20" w:line="240" w:lineRule="auto"/>
            </w:pPr>
            <w:r>
              <w:rPr>
                <w:sz w:val="19"/>
              </w:rPr>
              <w:t>5.6</w:t>
            </w:r>
          </w:p>
        </w:tc>
        <w:tc>
          <w:tcPr>
            <w:tcW w:type="dxa" w:w="2298"/>
            <w:shd w:val="clear" w:color="auto" w:fill="F3F6FA"/>
          </w:tcPr>
          <w:p>
            <w:pPr>
              <w:spacing w:after="20" w:line="240" w:lineRule="auto"/>
            </w:pPr>
            <w:r>
              <w:rPr>
                <w:sz w:val="19"/>
              </w:rPr>
              <w:t>5.3</w:t>
            </w:r>
          </w:p>
        </w:tc>
      </w:tr>
      <w:tr>
        <w:tc>
          <w:tcPr>
            <w:tcW w:type="dxa" w:w="4935"/>
          </w:tcPr>
          <w:p>
            <w:pPr>
              <w:spacing w:after="20" w:line="240" w:lineRule="auto"/>
            </w:pPr>
            <w:r>
              <w:rPr>
                <w:sz w:val="19"/>
              </w:rPr>
              <w:t>Schulte &lt; 45 s</w:t>
            </w:r>
          </w:p>
        </w:tc>
        <w:tc>
          <w:tcPr>
            <w:tcW w:type="dxa" w:w="1838"/>
          </w:tcPr>
          <w:p>
            <w:pPr>
              <w:spacing w:after="20" w:line="240" w:lineRule="auto"/>
            </w:pPr>
            <w:r>
              <w:rPr>
                <w:sz w:val="19"/>
              </w:rPr>
              <w:t>100%</w:t>
            </w:r>
          </w:p>
        </w:tc>
        <w:tc>
          <w:tcPr>
            <w:tcW w:type="dxa" w:w="2298"/>
          </w:tcPr>
          <w:p>
            <w:pPr>
              <w:spacing w:after="20" w:line="240" w:lineRule="auto"/>
            </w:pPr>
            <w:r>
              <w:rPr>
                <w:sz w:val="19"/>
              </w:rPr>
              <w:t>87%</w:t>
            </w:r>
          </w:p>
        </w:tc>
      </w:tr>
    </w:tbl>
    <w:p>
      <w:pPr>
        <w:spacing w:after="40"/>
      </w:pPr>
    </w:p>
    <w:p>
      <w:pPr>
        <w:keepNext/>
        <w:spacing w:before="120"/>
      </w:pPr>
      <w:r>
        <w:rPr>
          <w:b/>
        </w:rPr>
        <w:t>Features / attributes (24 raw + 7 derived)</w:t>
      </w:r>
    </w:p>
    <w:tbl>
      <w:tblPr>
        <w:tblStyle w:val="TableGrid"/>
        <w:tblW w:type="auto" w:w="0"/>
        <w:jc w:val="center"/>
        <w:tblLayout w:type="fixed"/>
        <w:tblLook w:firstColumn="1" w:firstRow="1" w:lastColumn="0" w:lastRow="0" w:noHBand="0" w:noVBand="1" w:val="04A0"/>
      </w:tblPr>
      <w:tblGrid>
        <w:gridCol w:w="2023"/>
        <w:gridCol w:w="7048"/>
      </w:tblGrid>
      <w:tr>
        <w:trPr>
          <w:tblHeader w:val="true"/>
        </w:trPr>
        <w:tc>
          <w:tcPr>
            <w:tcW w:type="dxa" w:w="2024"/>
            <w:shd w:val="clear" w:color="auto" w:fill="1F3A5F"/>
          </w:tcPr>
          <w:p>
            <w:pPr>
              <w:spacing w:after="20" w:line="240" w:lineRule="auto"/>
            </w:pPr>
            <w:r>
              <w:rPr>
                <w:b/>
                <w:color w:val="FFFFFF"/>
                <w:sz w:val="19"/>
              </w:rPr>
              <w:t>Group</w:t>
            </w:r>
          </w:p>
        </w:tc>
        <w:tc>
          <w:tcPr>
            <w:tcW w:type="dxa" w:w="7047"/>
            <w:shd w:val="clear" w:color="auto" w:fill="1F3A5F"/>
          </w:tcPr>
          <w:p>
            <w:pPr>
              <w:spacing w:after="20" w:line="240" w:lineRule="auto"/>
            </w:pPr>
            <w:r>
              <w:rPr>
                <w:b/>
                <w:color w:val="FFFFFF"/>
                <w:sz w:val="19"/>
              </w:rPr>
              <w:t>Attributes</w:t>
            </w:r>
          </w:p>
        </w:tc>
      </w:tr>
      <w:tr>
        <w:tc>
          <w:tcPr>
            <w:tcW w:type="dxa" w:w="2024"/>
          </w:tcPr>
          <w:p>
            <w:pPr>
              <w:spacing w:after="20" w:line="240" w:lineRule="auto"/>
            </w:pPr>
            <w:r>
              <w:rPr>
                <w:sz w:val="19"/>
              </w:rPr>
              <w:t>ID &amp; demographics</w:t>
            </w:r>
          </w:p>
        </w:tc>
        <w:tc>
          <w:tcPr>
            <w:tcW w:type="dxa" w:w="7047"/>
          </w:tcPr>
          <w:p>
            <w:pPr>
              <w:spacing w:after="20" w:line="240" w:lineRule="auto"/>
            </w:pPr>
            <w:r>
              <w:rPr>
                <w:sz w:val="19"/>
              </w:rPr>
              <w:t>student_id, grade (8/9), gender, age</w:t>
            </w:r>
          </w:p>
        </w:tc>
      </w:tr>
      <w:tr>
        <w:tc>
          <w:tcPr>
            <w:tcW w:type="dxa" w:w="2024"/>
            <w:shd w:val="clear" w:color="auto" w:fill="F3F6FA"/>
          </w:tcPr>
          <w:p>
            <w:pPr>
              <w:spacing w:after="20" w:line="240" w:lineRule="auto"/>
            </w:pPr>
            <w:r>
              <w:rPr>
                <w:sz w:val="19"/>
              </w:rPr>
              <w:t>Questionnaire (categorical)</w:t>
            </w:r>
          </w:p>
        </w:tc>
        <w:tc>
          <w:tcPr>
            <w:tcW w:type="dxa" w:w="7047"/>
            <w:shd w:val="clear" w:color="auto" w:fill="F3F6FA"/>
          </w:tcPr>
          <w:p>
            <w:pPr>
              <w:spacing w:after="20" w:line="240" w:lineRule="auto"/>
            </w:pPr>
            <w:r>
              <w:rPr>
                <w:sz w:val="19"/>
              </w:rPr>
              <w:t>main_ai_tool (Q3), main_subject (Q5), main_purpose (Q6)</w:t>
            </w:r>
          </w:p>
        </w:tc>
      </w:tr>
      <w:tr>
        <w:tc>
          <w:tcPr>
            <w:tcW w:type="dxa" w:w="2024"/>
          </w:tcPr>
          <w:p>
            <w:pPr>
              <w:spacing w:after="20" w:line="240" w:lineRule="auto"/>
            </w:pPr>
            <w:r>
              <w:rPr>
                <w:sz w:val="19"/>
              </w:rPr>
              <w:t>Questionnaire (ordinal 1–5)</w:t>
            </w:r>
          </w:p>
        </w:tc>
        <w:tc>
          <w:tcPr>
            <w:tcW w:type="dxa" w:w="7047"/>
          </w:tcPr>
          <w:p>
            <w:pPr>
              <w:spacing w:after="20" w:line="240" w:lineRule="auto"/>
            </w:pPr>
            <w:r>
              <w:rPr>
                <w:sz w:val="19"/>
              </w:rPr>
              <w:t>q4_ai_frequency, q7_daily_ai_time, q8_ask_ai_first, q9_copy_directly, q10_rewrite_own_words, q11_check_correctness, q12_could_do_without_ai</w:t>
            </w:r>
          </w:p>
        </w:tc>
      </w:tr>
      <w:tr>
        <w:tc>
          <w:tcPr>
            <w:tcW w:type="dxa" w:w="2024"/>
            <w:shd w:val="clear" w:color="auto" w:fill="F3F6FA"/>
          </w:tcPr>
          <w:p>
            <w:pPr>
              <w:spacing w:after="20" w:line="240" w:lineRule="auto"/>
            </w:pPr>
            <w:r>
              <w:rPr>
                <w:sz w:val="19"/>
              </w:rPr>
              <w:t>Lifestyle</w:t>
            </w:r>
          </w:p>
        </w:tc>
        <w:tc>
          <w:tcPr>
            <w:tcW w:type="dxa" w:w="7047"/>
            <w:shd w:val="clear" w:color="auto" w:fill="F3F6FA"/>
          </w:tcPr>
          <w:p>
            <w:pPr>
              <w:spacing w:after="20" w:line="240" w:lineRule="auto"/>
            </w:pPr>
            <w:r>
              <w:rPr>
                <w:sz w:val="19"/>
              </w:rPr>
              <w:t>screen_time_hours (recreational), sleep_hours</w:t>
            </w:r>
          </w:p>
        </w:tc>
      </w:tr>
      <w:tr>
        <w:tc>
          <w:tcPr>
            <w:tcW w:type="dxa" w:w="2024"/>
          </w:tcPr>
          <w:p>
            <w:pPr>
              <w:spacing w:after="20" w:line="240" w:lineRule="auto"/>
            </w:pPr>
            <w:r>
              <w:rPr>
                <w:sz w:val="19"/>
              </w:rPr>
              <w:t>Attention tests</w:t>
            </w:r>
          </w:p>
        </w:tc>
        <w:tc>
          <w:tcPr>
            <w:tcW w:type="dxa" w:w="7047"/>
          </w:tcPr>
          <w:p>
            <w:pPr>
              <w:spacing w:after="20" w:line="240" w:lineRule="auto"/>
            </w:pPr>
            <w:r>
              <w:rPr>
                <w:sz w:val="19"/>
              </w:rPr>
              <w:t>luria_trial1–3, luria_delayed (0–10), schulte_seconds, digit_span_total</w:t>
            </w:r>
          </w:p>
        </w:tc>
      </w:tr>
      <w:tr>
        <w:tc>
          <w:tcPr>
            <w:tcW w:type="dxa" w:w="2024"/>
            <w:shd w:val="clear" w:color="auto" w:fill="F3F6FA"/>
          </w:tcPr>
          <w:p>
            <w:pPr>
              <w:spacing w:after="20" w:line="240" w:lineRule="auto"/>
            </w:pPr>
            <w:r>
              <w:rPr>
                <w:sz w:val="19"/>
              </w:rPr>
              <w:t>Critical thinking</w:t>
            </w:r>
          </w:p>
        </w:tc>
        <w:tc>
          <w:tcPr>
            <w:tcW w:type="dxa" w:w="7047"/>
            <w:shd w:val="clear" w:color="auto" w:fill="F3F6FA"/>
          </w:tcPr>
          <w:p>
            <w:pPr>
              <w:spacing w:after="20" w:line="240" w:lineRule="auto"/>
            </w:pPr>
            <w:r>
              <w:rPr>
                <w:sz w:val="19"/>
              </w:rPr>
              <w:t>ct_detection (0–4), ct_justification (0–4)</w:t>
            </w:r>
          </w:p>
        </w:tc>
      </w:tr>
      <w:tr>
        <w:tc>
          <w:tcPr>
            <w:tcW w:type="dxa" w:w="2024"/>
          </w:tcPr>
          <w:p>
            <w:pPr>
              <w:spacing w:after="20" w:line="240" w:lineRule="auto"/>
            </w:pPr>
            <w:r>
              <w:rPr>
                <w:b/>
                <w:sz w:val="19"/>
              </w:rPr>
              <w:t>Derived</w:t>
            </w:r>
          </w:p>
        </w:tc>
        <w:tc>
          <w:tcPr>
            <w:tcW w:type="dxa" w:w="7047"/>
          </w:tcPr>
          <w:p>
            <w:pPr>
              <w:spacing w:after="20" w:line="240" w:lineRule="auto"/>
            </w:pPr>
            <w:r>
              <w:rPr>
                <w:sz w:val="19"/>
              </w:rPr>
              <w:t>offloading_score, ai_use_group, luria_mean, ct_total, attention_index, low_attention, low_ct</w:t>
            </w:r>
          </w:p>
        </w:tc>
      </w:tr>
    </w:tbl>
    <w:p>
      <w:pPr>
        <w:spacing w:after="40"/>
      </w:pPr>
    </w:p>
    <w:p>
      <w:r>
        <w:rPr>
          <w:b/>
        </w:rPr>
        <w:t>Missing values.</w:t>
      </w:r>
      <w:r>
        <w:t xml:space="preserve"> 5 missing values (2.8%) in each of main_subject, q11, q12, screen_time_hours, sleep_hours and digit_span_total. 30 cells in total.</w:t>
      </w:r>
    </w:p>
    <w:p>
      <w:pPr>
        <w:keepNext/>
        <w:spacing w:before="120"/>
      </w:pPr>
      <w:r>
        <w:rPr>
          <w:b/>
        </w:rPr>
        <w:t>Preprocessing</w:t>
      </w:r>
    </w:p>
    <w:p>
      <w:pPr>
        <w:pStyle w:val="ListBullet"/>
        <w:spacing w:after="60"/>
      </w:pPr>
      <w:r>
        <w:t>Ordinal coding 1–5. Q10, Q11 and Q12 reverse-coded (6 − x) so that a higher value always means more offloading (thesis §4.3).</w:t>
      </w:r>
    </w:p>
    <w:p>
      <w:pPr>
        <w:pStyle w:val="ListBullet"/>
        <w:spacing w:after="60"/>
      </w:pPr>
      <w:r>
        <w:t>Composite scores are computed from the available items only, never zero-filled. The offloading score requires at least 4 of 6 items; the attention index requires at least 3 of 4 components.</w:t>
      </w:r>
    </w:p>
    <w:p>
      <w:pPr>
        <w:pStyle w:val="ListBullet"/>
        <w:spacing w:after="60"/>
      </w:pPr>
      <w:r>
        <w:t>Attention index = 100 × mean(Luria T1/10, Luria delayed/10, (75 − Schulte)/51 clipped to 0–1, Digit Span/22).</w:t>
      </w:r>
    </w:p>
    <w:p>
      <w:r>
        <w:rPr>
          <w:b/>
        </w:rPr>
        <w:t>Cleaning methods.</w:t>
      </w:r>
      <w:r>
        <w:t xml:space="preserve"> Range validation on every insert and update (e.g. Luria 0–10, CT 0–4, justification ≤ detection, grade ∈ {8, 9}); categorical whitelist; type coercion. In ML: median imputation (numeric) and mode imputation (categorical) inside the pipeline, fitted on training folds only to avoid leakage.</w:t>
      </w:r>
    </w:p>
    <w:p>
      <w:pPr>
        <w:pStyle w:val="Heading1"/>
      </w:pPr>
      <w:r>
        <w:t>12. Functional Scope</w:t>
      </w:r>
    </w:p>
    <w:tbl>
      <w:tblPr>
        <w:tblStyle w:val="TableGrid"/>
        <w:tblW w:type="auto" w:w="0"/>
        <w:jc w:val="center"/>
        <w:tblLayout w:type="fixed"/>
        <w:tblLook w:firstColumn="1" w:firstRow="1" w:lastColumn="0" w:lastRow="0" w:noHBand="0" w:noVBand="1" w:val="04A0"/>
      </w:tblPr>
      <w:tblGrid>
        <w:gridCol w:w="1304"/>
        <w:gridCol w:w="2020"/>
        <w:gridCol w:w="2747"/>
        <w:gridCol w:w="3000"/>
      </w:tblGrid>
      <w:tr>
        <w:trPr>
          <w:tblHeader w:val="true"/>
        </w:trPr>
        <w:tc>
          <w:tcPr>
            <w:tcW w:type="dxa" w:w="1304"/>
            <w:shd w:val="clear" w:color="auto" w:fill="1F3A5F"/>
          </w:tcPr>
          <w:p>
            <w:pPr>
              <w:spacing w:after="20" w:line="240" w:lineRule="auto"/>
            </w:pPr>
            <w:r>
              <w:rPr>
                <w:b/>
                <w:color w:val="FFFFFF"/>
                <w:sz w:val="19"/>
              </w:rPr>
              <w:t>Module</w:t>
            </w:r>
          </w:p>
        </w:tc>
        <w:tc>
          <w:tcPr>
            <w:tcW w:type="dxa" w:w="2020"/>
            <w:shd w:val="clear" w:color="auto" w:fill="1F3A5F"/>
          </w:tcPr>
          <w:p>
            <w:pPr>
              <w:spacing w:after="20" w:line="240" w:lineRule="auto"/>
            </w:pPr>
            <w:r>
              <w:rPr>
                <w:b/>
                <w:color w:val="FFFFFF"/>
                <w:sz w:val="19"/>
              </w:rPr>
              <w:t>Input</w:t>
            </w:r>
          </w:p>
        </w:tc>
        <w:tc>
          <w:tcPr>
            <w:tcW w:type="dxa" w:w="2747"/>
            <w:shd w:val="clear" w:color="auto" w:fill="1F3A5F"/>
          </w:tcPr>
          <w:p>
            <w:pPr>
              <w:spacing w:after="20" w:line="240" w:lineRule="auto"/>
            </w:pPr>
            <w:r>
              <w:rPr>
                <w:b/>
                <w:color w:val="FFFFFF"/>
                <w:sz w:val="19"/>
              </w:rPr>
              <w:t>Processing</w:t>
            </w:r>
          </w:p>
        </w:tc>
        <w:tc>
          <w:tcPr>
            <w:tcW w:type="dxa" w:w="3000"/>
            <w:shd w:val="clear" w:color="auto" w:fill="1F3A5F"/>
          </w:tcPr>
          <w:p>
            <w:pPr>
              <w:spacing w:after="20" w:line="240" w:lineRule="auto"/>
            </w:pPr>
            <w:r>
              <w:rPr>
                <w:b/>
                <w:color w:val="FFFFFF"/>
                <w:sz w:val="19"/>
              </w:rPr>
              <w:t>Output</w:t>
            </w:r>
          </w:p>
        </w:tc>
      </w:tr>
      <w:tr>
        <w:tc>
          <w:tcPr>
            <w:tcW w:type="dxa" w:w="1304"/>
          </w:tcPr>
          <w:p>
            <w:pPr>
              <w:spacing w:after="20" w:line="240" w:lineRule="auto"/>
            </w:pPr>
            <w:r>
              <w:rPr>
                <w:sz w:val="19"/>
              </w:rPr>
              <w:t>Home</w:t>
            </w:r>
          </w:p>
        </w:tc>
        <w:tc>
          <w:tcPr>
            <w:tcW w:type="dxa" w:w="2020"/>
          </w:tcPr>
          <w:p>
            <w:pPr>
              <w:spacing w:after="20" w:line="240" w:lineRule="auto"/>
            </w:pPr>
            <w:r>
              <w:rPr>
                <w:sz w:val="19"/>
              </w:rPr>
              <w:t>–</w:t>
            </w:r>
          </w:p>
        </w:tc>
        <w:tc>
          <w:tcPr>
            <w:tcW w:type="dxa" w:w="2747"/>
          </w:tcPr>
          <w:p>
            <w:pPr>
              <w:spacing w:after="20" w:line="240" w:lineRule="auto"/>
            </w:pPr>
            <w:r>
              <w:rPr>
                <w:sz w:val="19"/>
              </w:rPr>
              <w:t>aggregate KPIs</w:t>
            </w:r>
          </w:p>
        </w:tc>
        <w:tc>
          <w:tcPr>
            <w:tcW w:type="dxa" w:w="3000"/>
          </w:tcPr>
          <w:p>
            <w:pPr>
              <w:spacing w:after="20" w:line="240" w:lineRule="auto"/>
            </w:pPr>
            <w:r>
              <w:rPr>
                <w:sz w:val="19"/>
              </w:rPr>
              <w:t>8 KPI cards, navigation</w:t>
            </w:r>
          </w:p>
        </w:tc>
      </w:tr>
      <w:tr>
        <w:tc>
          <w:tcPr>
            <w:tcW w:type="dxa" w:w="1304"/>
            <w:shd w:val="clear" w:color="auto" w:fill="F3F6FA"/>
          </w:tcPr>
          <w:p>
            <w:pPr>
              <w:spacing w:after="20" w:line="240" w:lineRule="auto"/>
            </w:pPr>
            <w:r>
              <w:rPr>
                <w:sz w:val="19"/>
              </w:rPr>
              <w:t>Dashboard</w:t>
            </w:r>
          </w:p>
        </w:tc>
        <w:tc>
          <w:tcPr>
            <w:tcW w:type="dxa" w:w="2020"/>
            <w:shd w:val="clear" w:color="auto" w:fill="F3F6FA"/>
          </w:tcPr>
          <w:p>
            <w:pPr>
              <w:spacing w:after="20" w:line="240" w:lineRule="auto"/>
            </w:pPr>
            <w:r>
              <w:rPr>
                <w:sz w:val="19"/>
              </w:rPr>
              <w:t>filters: grade, gender, tool, purpose, AI-use group</w:t>
            </w:r>
          </w:p>
        </w:tc>
        <w:tc>
          <w:tcPr>
            <w:tcW w:type="dxa" w:w="2747"/>
            <w:shd w:val="clear" w:color="auto" w:fill="F3F6FA"/>
          </w:tcPr>
          <w:p>
            <w:pPr>
              <w:spacing w:after="20" w:line="240" w:lineRule="auto"/>
            </w:pPr>
            <w:r>
              <w:rPr>
                <w:sz w:val="19"/>
              </w:rPr>
              <w:t>filtering, Pearson/Spearman, Welch t-test, Cohen's d, behaviour profile</w:t>
            </w:r>
          </w:p>
        </w:tc>
        <w:tc>
          <w:tcPr>
            <w:tcW w:type="dxa" w:w="3000"/>
            <w:shd w:val="clear" w:color="auto" w:fill="F3F6FA"/>
          </w:tcPr>
          <w:p>
            <w:pPr>
              <w:spacing w:after="20" w:line="240" w:lineRule="auto"/>
            </w:pPr>
            <w:r>
              <w:rPr>
                <w:sz w:val="19"/>
              </w:rPr>
              <w:t>14 charts, 3 statistical tables, CSV export</w:t>
            </w:r>
          </w:p>
        </w:tc>
      </w:tr>
      <w:tr>
        <w:tc>
          <w:tcPr>
            <w:tcW w:type="dxa" w:w="1304"/>
          </w:tcPr>
          <w:p>
            <w:pPr>
              <w:spacing w:after="20" w:line="240" w:lineRule="auto"/>
            </w:pPr>
            <w:r>
              <w:rPr>
                <w:sz w:val="19"/>
              </w:rPr>
              <w:t>Records (CRUD)</w:t>
            </w:r>
          </w:p>
        </w:tc>
        <w:tc>
          <w:tcPr>
            <w:tcW w:type="dxa" w:w="2020"/>
          </w:tcPr>
          <w:p>
            <w:pPr>
              <w:spacing w:after="20" w:line="240" w:lineRule="auto"/>
            </w:pPr>
            <w:r>
              <w:rPr>
                <w:sz w:val="19"/>
              </w:rPr>
              <w:t>search ID, filters, risk flag, page; record form</w:t>
            </w:r>
          </w:p>
        </w:tc>
        <w:tc>
          <w:tcPr>
            <w:tcW w:type="dxa" w:w="2747"/>
          </w:tcPr>
          <w:p>
            <w:pPr>
              <w:spacing w:after="20" w:line="240" w:lineRule="auto"/>
            </w:pPr>
            <w:r>
              <w:rPr>
                <w:sz w:val="19"/>
              </w:rPr>
              <w:t xml:space="preserve">validation → INSERT/UPDATE/DELETE → </w:t>
            </w:r>
            <w:r>
              <w:rPr>
                <w:rFonts w:ascii="Consolas" w:hAnsi="Consolas"/>
                <w:sz w:val="19"/>
              </w:rPr>
              <w:t>derive()</w:t>
            </w:r>
          </w:p>
        </w:tc>
        <w:tc>
          <w:tcPr>
            <w:tcW w:type="dxa" w:w="3000"/>
          </w:tcPr>
          <w:p>
            <w:pPr>
              <w:spacing w:after="20" w:line="240" w:lineRule="auto"/>
            </w:pPr>
            <w:r>
              <w:rPr>
                <w:sz w:val="19"/>
              </w:rPr>
              <w:t>paginated list, detail page with model risk, flash messages</w:t>
            </w:r>
          </w:p>
        </w:tc>
      </w:tr>
      <w:tr>
        <w:tc>
          <w:tcPr>
            <w:tcW w:type="dxa" w:w="1304"/>
            <w:shd w:val="clear" w:color="auto" w:fill="F3F6FA"/>
          </w:tcPr>
          <w:p>
            <w:pPr>
              <w:spacing w:after="20" w:line="240" w:lineRule="auto"/>
            </w:pPr>
            <w:r>
              <w:rPr>
                <w:sz w:val="19"/>
              </w:rPr>
              <w:t>Risk prediction</w:t>
            </w:r>
          </w:p>
        </w:tc>
        <w:tc>
          <w:tcPr>
            <w:tcW w:type="dxa" w:w="2020"/>
            <w:shd w:val="clear" w:color="auto" w:fill="F3F6FA"/>
          </w:tcPr>
          <w:p>
            <w:pPr>
              <w:spacing w:after="20" w:line="240" w:lineRule="auto"/>
            </w:pPr>
            <w:r>
              <w:rPr>
                <w:sz w:val="19"/>
              </w:rPr>
              <w:t>questionnaire answers (no test scores)</w:t>
            </w:r>
          </w:p>
        </w:tc>
        <w:tc>
          <w:tcPr>
            <w:tcW w:type="dxa" w:w="2747"/>
            <w:shd w:val="clear" w:color="auto" w:fill="F3F6FA"/>
          </w:tcPr>
          <w:p>
            <w:pPr>
              <w:spacing w:after="20" w:line="240" w:lineRule="auto"/>
            </w:pPr>
            <w:r>
              <w:rPr>
                <w:rFonts w:ascii="Consolas" w:hAnsi="Consolas"/>
                <w:sz w:val="19"/>
              </w:rPr>
              <w:t>derive()</w:t>
            </w:r>
            <w:r>
              <w:rPr>
                <w:sz w:val="19"/>
              </w:rPr>
              <w:t xml:space="preserve"> → pipeline → </w:t>
            </w:r>
            <w:r>
              <w:rPr>
                <w:rFonts w:ascii="Consolas" w:hAnsi="Consolas"/>
                <w:sz w:val="19"/>
              </w:rPr>
              <w:t>predict_proba</w:t>
            </w:r>
          </w:p>
        </w:tc>
        <w:tc>
          <w:tcPr>
            <w:tcW w:type="dxa" w:w="3000"/>
            <w:shd w:val="clear" w:color="auto" w:fill="F3F6FA"/>
          </w:tcPr>
          <w:p>
            <w:pPr>
              <w:spacing w:after="20" w:line="240" w:lineRule="auto"/>
            </w:pPr>
            <w:r>
              <w:rPr>
                <w:sz w:val="19"/>
              </w:rPr>
              <w:t>probabilities, High/Medium/Low badges, recommendations (thesis §5.3)</w:t>
            </w:r>
          </w:p>
        </w:tc>
      </w:tr>
      <w:tr>
        <w:tc>
          <w:tcPr>
            <w:tcW w:type="dxa" w:w="1304"/>
          </w:tcPr>
          <w:p>
            <w:pPr>
              <w:spacing w:after="20" w:line="240" w:lineRule="auto"/>
            </w:pPr>
            <w:r>
              <w:rPr>
                <w:sz w:val="19"/>
              </w:rPr>
              <w:t>Model evaluation</w:t>
            </w:r>
          </w:p>
        </w:tc>
        <w:tc>
          <w:tcPr>
            <w:tcW w:type="dxa" w:w="2020"/>
          </w:tcPr>
          <w:p>
            <w:pPr>
              <w:spacing w:after="20" w:line="240" w:lineRule="auto"/>
            </w:pPr>
            <w:r>
              <w:rPr>
                <w:sz w:val="19"/>
              </w:rPr>
              <w:t>button "Retrain"</w:t>
            </w:r>
          </w:p>
        </w:tc>
        <w:tc>
          <w:tcPr>
            <w:tcW w:type="dxa" w:w="2747"/>
          </w:tcPr>
          <w:p>
            <w:pPr>
              <w:spacing w:after="20" w:line="240" w:lineRule="auto"/>
            </w:pPr>
            <w:r>
              <w:rPr>
                <w:rFonts w:ascii="Consolas" w:hAnsi="Consolas"/>
                <w:sz w:val="19"/>
              </w:rPr>
              <w:t>ml.train()</w:t>
            </w:r>
            <w:r>
              <w:rPr>
                <w:sz w:val="19"/>
              </w:rPr>
              <w:t xml:space="preserve"> on current DB</w:t>
            </w:r>
          </w:p>
        </w:tc>
        <w:tc>
          <w:tcPr>
            <w:tcW w:type="dxa" w:w="3000"/>
          </w:tcPr>
          <w:p>
            <w:pPr>
              <w:spacing w:after="20" w:line="240" w:lineRule="auto"/>
            </w:pPr>
            <w:r>
              <w:rPr>
                <w:sz w:val="19"/>
              </w:rPr>
              <w:t>metric tables, confusion matrices, coefficients, importances</w:t>
            </w:r>
          </w:p>
        </w:tc>
      </w:tr>
      <w:tr>
        <w:tc>
          <w:tcPr>
            <w:tcW w:type="dxa" w:w="1304"/>
            <w:shd w:val="clear" w:color="auto" w:fill="F3F6FA"/>
          </w:tcPr>
          <w:p>
            <w:pPr>
              <w:spacing w:after="20" w:line="240" w:lineRule="auto"/>
            </w:pPr>
            <w:r>
              <w:rPr>
                <w:sz w:val="19"/>
              </w:rPr>
              <w:t>Data &amp; pipeline</w:t>
            </w:r>
          </w:p>
        </w:tc>
        <w:tc>
          <w:tcPr>
            <w:tcW w:type="dxa" w:w="2020"/>
            <w:shd w:val="clear" w:color="auto" w:fill="F3F6FA"/>
          </w:tcPr>
          <w:p>
            <w:pPr>
              <w:spacing w:after="20" w:line="240" w:lineRule="auto"/>
            </w:pPr>
            <w:r>
              <w:rPr>
                <w:sz w:val="19"/>
              </w:rPr>
              <w:t>–</w:t>
            </w:r>
          </w:p>
        </w:tc>
        <w:tc>
          <w:tcPr>
            <w:tcW w:type="dxa" w:w="2747"/>
            <w:shd w:val="clear" w:color="auto" w:fill="F3F6FA"/>
          </w:tcPr>
          <w:p>
            <w:pPr>
              <w:spacing w:after="20" w:line="240" w:lineRule="auto"/>
            </w:pPr>
            <w:r>
              <w:rPr>
                <w:sz w:val="19"/>
              </w:rPr>
              <w:t xml:space="preserve">missing report, </w:t>
            </w:r>
            <w:r>
              <w:rPr>
                <w:rFonts w:ascii="Consolas" w:hAnsi="Consolas"/>
                <w:sz w:val="19"/>
              </w:rPr>
              <w:t>describe()</w:t>
            </w:r>
          </w:p>
        </w:tc>
        <w:tc>
          <w:tcPr>
            <w:tcW w:type="dxa" w:w="3000"/>
            <w:shd w:val="clear" w:color="auto" w:fill="F3F6FA"/>
          </w:tcPr>
          <w:p>
            <w:pPr>
              <w:spacing w:after="20" w:line="240" w:lineRule="auto"/>
            </w:pPr>
            <w:r>
              <w:rPr>
                <w:sz w:val="19"/>
              </w:rPr>
              <w:t>pipeline steps, statistics, thesis reference table</w:t>
            </w:r>
          </w:p>
        </w:tc>
      </w:tr>
      <w:tr>
        <w:tc>
          <w:tcPr>
            <w:tcW w:type="dxa" w:w="1304"/>
          </w:tcPr>
          <w:p>
            <w:pPr>
              <w:spacing w:after="20" w:line="240" w:lineRule="auto"/>
            </w:pPr>
            <w:r>
              <w:rPr>
                <w:sz w:val="19"/>
              </w:rPr>
              <w:t>REST API</w:t>
            </w:r>
          </w:p>
        </w:tc>
        <w:tc>
          <w:tcPr>
            <w:tcW w:type="dxa" w:w="2020"/>
          </w:tcPr>
          <w:p>
            <w:pPr>
              <w:spacing w:after="20" w:line="240" w:lineRule="auto"/>
            </w:pPr>
            <w:r>
              <w:rPr>
                <w:sz w:val="19"/>
              </w:rPr>
              <w:t>GET filters / POST JSON</w:t>
            </w:r>
          </w:p>
        </w:tc>
        <w:tc>
          <w:tcPr>
            <w:tcW w:type="dxa" w:w="2747"/>
          </w:tcPr>
          <w:p>
            <w:pPr>
              <w:spacing w:after="20" w:line="240" w:lineRule="auto"/>
            </w:pPr>
            <w:r>
              <w:rPr>
                <w:sz w:val="19"/>
              </w:rPr>
              <w:t>same logic as UI</w:t>
            </w:r>
          </w:p>
        </w:tc>
        <w:tc>
          <w:tcPr>
            <w:tcW w:type="dxa" w:w="3000"/>
          </w:tcPr>
          <w:p>
            <w:pPr>
              <w:spacing w:after="20" w:line="240" w:lineRule="auto"/>
            </w:pPr>
            <w:r>
              <w:rPr>
                <w:sz w:val="19"/>
              </w:rPr>
              <w:t>JSON</w:t>
            </w:r>
          </w:p>
        </w:tc>
      </w:tr>
    </w:tbl>
    <w:p>
      <w:pPr>
        <w:spacing w:after="40"/>
      </w:pPr>
    </w:p>
    <w:p>
      <w:r>
        <w:rPr>
          <w:b/>
        </w:rPr>
        <w:t>User interaction.</w:t>
      </w:r>
      <w:r>
        <w:t xml:space="preserve"> A teacher opens the dashboard and filters, for example, </w:t>
      </w:r>
      <w:r>
        <w:rPr>
          <w:i/>
        </w:rPr>
        <w:t>Grade 9 + Higher AI use</w:t>
      </w:r>
      <w:r>
        <w:t>. They check the offloading histogram and correlations, open the flagged students in Records, enter new test results after a testing session, and use Risk Prediction for a student who has completed only the questionnaire.</w:t>
      </w:r>
    </w:p>
    <w:p>
      <w:pPr>
        <w:pStyle w:val="Heading1"/>
      </w:pPr>
      <w:r>
        <w:t>13. Non-Functional Scope</w:t>
      </w:r>
    </w:p>
    <w:p>
      <w:pPr>
        <w:pStyle w:val="ListBullet"/>
        <w:spacing w:after="60"/>
      </w:pPr>
      <w:r>
        <w:rPr>
          <w:b/>
        </w:rPr>
        <w:t>Performance:</w:t>
      </w:r>
      <w:r>
        <w:t xml:space="preserve"> all pages render in under 1.5 s with N = 180 (the dashboard draws 14 charts server-side). Model training takes about 10 s including CV. Prediction takes under 50 ms.</w:t>
      </w:r>
    </w:p>
    <w:p>
      <w:pPr>
        <w:pStyle w:val="ListBullet"/>
        <w:spacing w:after="60"/>
      </w:pPr>
      <w:r>
        <w:rPr>
          <w:b/>
        </w:rPr>
        <w:t>Scalability:</w:t>
      </w:r>
      <w:r>
        <w:t xml:space="preserve"> SQLite handles thousands of students in one school. For several schools, switch to PostgreSQL (the SQL is standard), cache charts, and move to a front-end chart library such as Plotly. The models are stateless and loaded once.</w:t>
      </w:r>
    </w:p>
    <w:p>
      <w:pPr>
        <w:pStyle w:val="ListBullet"/>
        <w:spacing w:after="60"/>
      </w:pPr>
      <w:r>
        <w:rPr>
          <w:b/>
        </w:rPr>
        <w:t>Security:</w:t>
      </w:r>
      <w:r>
        <w:t xml:space="preserve"> parameterised SQL (no injection); server-side validation; pseudonymous IDs (P1001…) with no names stored; destructive actions use POST only. Required for production: authentication and role-based access (teacher, admin), CSRF tokens (Flask-WTF), HTTPS, secret key from environment, GDPR consent records and a retention policy.</w:t>
      </w:r>
    </w:p>
    <w:p>
      <w:pPr>
        <w:pStyle w:val="ListBullet"/>
        <w:spacing w:after="60"/>
      </w:pPr>
      <w:r>
        <w:rPr>
          <w:b/>
        </w:rPr>
        <w:t>Reliability:</w:t>
      </w:r>
      <w:r>
        <w:t xml:space="preserve"> DB and models are recreated automatically if missing; deterministic seeds; 8 automated tests.</w:t>
      </w:r>
    </w:p>
    <w:p>
      <w:pPr>
        <w:pStyle w:val="ListBullet"/>
        <w:spacing w:after="60"/>
      </w:pPr>
      <w:r>
        <w:rPr>
          <w:b/>
        </w:rPr>
        <w:t>Maintainability:</w:t>
      </w:r>
      <w:r>
        <w:t xml:space="preserve"> modular structure (db / analysis / ml / charts / app); the instrument definitions are kept in one place (</w:t>
      </w:r>
      <w:r>
        <w:rPr>
          <w:rFonts w:ascii="Consolas" w:hAnsi="Consolas"/>
          <w:sz w:val="20"/>
        </w:rPr>
        <w:t>db.py</w:t>
      </w:r>
      <w:r>
        <w:t xml:space="preserve"> dictionaries); docstrings; README.</w:t>
      </w:r>
    </w:p>
    <w:p>
      <w:pPr>
        <w:pStyle w:val="Heading1"/>
      </w:pPr>
      <w:r>
        <w:t>14. Work Packages / Project Modules</w:t>
      </w:r>
    </w:p>
    <w:tbl>
      <w:tblPr>
        <w:tblStyle w:val="TableGrid"/>
        <w:tblW w:type="auto" w:w="0"/>
        <w:jc w:val="center"/>
        <w:tblLayout w:type="fixed"/>
        <w:tblLook w:firstColumn="1" w:firstRow="1" w:lastColumn="0" w:lastRow="0" w:noHBand="0" w:noVBand="1" w:val="04A0"/>
      </w:tblPr>
      <w:tblGrid>
        <w:gridCol w:w="549"/>
        <w:gridCol w:w="1627"/>
        <w:gridCol w:w="4082"/>
        <w:gridCol w:w="2812"/>
      </w:tblGrid>
      <w:tr>
        <w:trPr>
          <w:tblHeader w:val="true"/>
        </w:trPr>
        <w:tc>
          <w:tcPr>
            <w:tcW w:type="dxa" w:w="550"/>
            <w:shd w:val="clear" w:color="auto" w:fill="1F3A5F"/>
          </w:tcPr>
          <w:p>
            <w:pPr>
              <w:spacing w:after="20" w:line="240" w:lineRule="auto"/>
            </w:pPr>
            <w:r>
              <w:rPr>
                <w:b/>
                <w:color w:val="FFFFFF"/>
                <w:sz w:val="19"/>
              </w:rPr>
              <w:t>WP</w:t>
            </w:r>
          </w:p>
        </w:tc>
        <w:tc>
          <w:tcPr>
            <w:tcW w:type="dxa" w:w="1627"/>
            <w:shd w:val="clear" w:color="auto" w:fill="1F3A5F"/>
          </w:tcPr>
          <w:p>
            <w:pPr>
              <w:spacing w:after="20" w:line="240" w:lineRule="auto"/>
            </w:pPr>
            <w:r>
              <w:rPr>
                <w:b/>
                <w:color w:val="FFFFFF"/>
                <w:sz w:val="19"/>
              </w:rPr>
              <w:t>Name</w:t>
            </w:r>
          </w:p>
        </w:tc>
        <w:tc>
          <w:tcPr>
            <w:tcW w:type="dxa" w:w="4082"/>
            <w:shd w:val="clear" w:color="auto" w:fill="1F3A5F"/>
          </w:tcPr>
          <w:p>
            <w:pPr>
              <w:spacing w:after="20" w:line="240" w:lineRule="auto"/>
            </w:pPr>
            <w:r>
              <w:rPr>
                <w:b/>
                <w:color w:val="FFFFFF"/>
                <w:sz w:val="19"/>
              </w:rPr>
              <w:t>Tasks</w:t>
            </w:r>
          </w:p>
        </w:tc>
        <w:tc>
          <w:tcPr>
            <w:tcW w:type="dxa" w:w="2812"/>
            <w:shd w:val="clear" w:color="auto" w:fill="1F3A5F"/>
          </w:tcPr>
          <w:p>
            <w:pPr>
              <w:spacing w:after="20" w:line="240" w:lineRule="auto"/>
            </w:pPr>
            <w:r>
              <w:rPr>
                <w:b/>
                <w:color w:val="FFFFFF"/>
                <w:sz w:val="19"/>
              </w:rPr>
              <w:t>Deliverable</w:t>
            </w:r>
          </w:p>
        </w:tc>
      </w:tr>
      <w:tr>
        <w:tc>
          <w:tcPr>
            <w:tcW w:type="dxa" w:w="550"/>
          </w:tcPr>
          <w:p>
            <w:pPr>
              <w:spacing w:after="20" w:line="240" w:lineRule="auto"/>
            </w:pPr>
            <w:r>
              <w:rPr>
                <w:sz w:val="19"/>
              </w:rPr>
              <w:t>WP1</w:t>
            </w:r>
          </w:p>
        </w:tc>
        <w:tc>
          <w:tcPr>
            <w:tcW w:type="dxa" w:w="1627"/>
          </w:tcPr>
          <w:p>
            <w:pPr>
              <w:spacing w:after="20" w:line="240" w:lineRule="auto"/>
            </w:pPr>
            <w:r>
              <w:rPr>
                <w:sz w:val="19"/>
              </w:rPr>
              <w:t>Requirement analysis</w:t>
            </w:r>
          </w:p>
        </w:tc>
        <w:tc>
          <w:tcPr>
            <w:tcW w:type="dxa" w:w="4082"/>
          </w:tcPr>
          <w:p>
            <w:pPr>
              <w:spacing w:after="20" w:line="240" w:lineRule="auto"/>
            </w:pPr>
            <w:r>
              <w:rPr>
                <w:sz w:val="19"/>
              </w:rPr>
              <w:t>Extract research questions, instruments and hypothesis from the thesis; define users and KPIs</w:t>
            </w:r>
          </w:p>
        </w:tc>
        <w:tc>
          <w:tcPr>
            <w:tcW w:type="dxa" w:w="2812"/>
          </w:tcPr>
          <w:p>
            <w:pPr>
              <w:spacing w:after="20" w:line="240" w:lineRule="auto"/>
            </w:pPr>
            <w:r>
              <w:rPr>
                <w:sz w:val="19"/>
              </w:rPr>
              <w:t>Requirements list, scope</w:t>
            </w:r>
          </w:p>
        </w:tc>
      </w:tr>
      <w:tr>
        <w:tc>
          <w:tcPr>
            <w:tcW w:type="dxa" w:w="550"/>
            <w:shd w:val="clear" w:color="auto" w:fill="F3F6FA"/>
          </w:tcPr>
          <w:p>
            <w:pPr>
              <w:spacing w:after="20" w:line="240" w:lineRule="auto"/>
            </w:pPr>
            <w:r>
              <w:rPr>
                <w:sz w:val="19"/>
              </w:rPr>
              <w:t>WP2</w:t>
            </w:r>
          </w:p>
        </w:tc>
        <w:tc>
          <w:tcPr>
            <w:tcW w:type="dxa" w:w="1627"/>
            <w:shd w:val="clear" w:color="auto" w:fill="F3F6FA"/>
          </w:tcPr>
          <w:p>
            <w:pPr>
              <w:spacing w:after="20" w:line="240" w:lineRule="auto"/>
            </w:pPr>
            <w:r>
              <w:rPr>
                <w:sz w:val="19"/>
              </w:rPr>
              <w:t>Dataset collection</w:t>
            </w:r>
          </w:p>
        </w:tc>
        <w:tc>
          <w:tcPr>
            <w:tcW w:type="dxa" w:w="4082"/>
            <w:shd w:val="clear" w:color="auto" w:fill="F3F6FA"/>
          </w:tcPr>
          <w:p>
            <w:pPr>
              <w:spacing w:after="20" w:line="240" w:lineRule="auto"/>
            </w:pPr>
            <w:r>
              <w:rPr>
                <w:sz w:val="19"/>
              </w:rPr>
              <w:t>Map Q1–Q12 and tests to a schema; calibrate and generate synthetic data; extract thesis reference tables</w:t>
            </w:r>
          </w:p>
        </w:tc>
        <w:tc>
          <w:tcPr>
            <w:tcW w:type="dxa" w:w="2812"/>
            <w:shd w:val="clear" w:color="auto" w:fill="F3F6FA"/>
          </w:tcPr>
          <w:p>
            <w:pPr>
              <w:spacing w:after="20" w:line="240" w:lineRule="auto"/>
            </w:pPr>
            <w:r>
              <w:rPr>
                <w:sz w:val="19"/>
              </w:rPr>
              <w:t xml:space="preserve">CSV, </w:t>
            </w:r>
            <w:r>
              <w:rPr>
                <w:rFonts w:ascii="Consolas" w:hAnsi="Consolas"/>
                <w:sz w:val="19"/>
              </w:rPr>
              <w:t>thesis_reference_n12.csv</w:t>
            </w:r>
          </w:p>
        </w:tc>
      </w:tr>
      <w:tr>
        <w:tc>
          <w:tcPr>
            <w:tcW w:type="dxa" w:w="550"/>
          </w:tcPr>
          <w:p>
            <w:pPr>
              <w:spacing w:after="20" w:line="240" w:lineRule="auto"/>
            </w:pPr>
            <w:r>
              <w:rPr>
                <w:sz w:val="19"/>
              </w:rPr>
              <w:t>WP3</w:t>
            </w:r>
          </w:p>
        </w:tc>
        <w:tc>
          <w:tcPr>
            <w:tcW w:type="dxa" w:w="1627"/>
          </w:tcPr>
          <w:p>
            <w:pPr>
              <w:spacing w:after="20" w:line="240" w:lineRule="auto"/>
            </w:pPr>
            <w:r>
              <w:rPr>
                <w:sz w:val="19"/>
              </w:rPr>
              <w:t>Data preprocessing</w:t>
            </w:r>
          </w:p>
        </w:tc>
        <w:tc>
          <w:tcPr>
            <w:tcW w:type="dxa" w:w="4082"/>
          </w:tcPr>
          <w:p>
            <w:pPr>
              <w:spacing w:after="20" w:line="240" w:lineRule="auto"/>
            </w:pPr>
            <w:r>
              <w:rPr>
                <w:sz w:val="19"/>
              </w:rPr>
              <w:t>Reverse coding, composite scores, missing-data handling, SQLite load</w:t>
            </w:r>
          </w:p>
        </w:tc>
        <w:tc>
          <w:tcPr>
            <w:tcW w:type="dxa" w:w="2812"/>
          </w:tcPr>
          <w:p>
            <w:pPr>
              <w:spacing w:after="20" w:line="240" w:lineRule="auto"/>
            </w:pPr>
            <w:r>
              <w:rPr>
                <w:rFonts w:ascii="Consolas" w:hAnsi="Consolas"/>
                <w:sz w:val="19"/>
              </w:rPr>
              <w:t>db.py</w:t>
            </w:r>
            <w:r>
              <w:rPr>
                <w:sz w:val="19"/>
              </w:rPr>
              <w:t xml:space="preserve">, </w:t>
            </w:r>
            <w:r>
              <w:rPr>
                <w:rFonts w:ascii="Consolas" w:hAnsi="Consolas"/>
                <w:sz w:val="19"/>
              </w:rPr>
              <w:t>ai_offloading.db</w:t>
            </w:r>
          </w:p>
        </w:tc>
      </w:tr>
      <w:tr>
        <w:tc>
          <w:tcPr>
            <w:tcW w:type="dxa" w:w="550"/>
            <w:shd w:val="clear" w:color="auto" w:fill="F3F6FA"/>
          </w:tcPr>
          <w:p>
            <w:pPr>
              <w:spacing w:after="20" w:line="240" w:lineRule="auto"/>
            </w:pPr>
            <w:r>
              <w:rPr>
                <w:sz w:val="19"/>
              </w:rPr>
              <w:t>WP4</w:t>
            </w:r>
          </w:p>
        </w:tc>
        <w:tc>
          <w:tcPr>
            <w:tcW w:type="dxa" w:w="1627"/>
            <w:shd w:val="clear" w:color="auto" w:fill="F3F6FA"/>
          </w:tcPr>
          <w:p>
            <w:pPr>
              <w:spacing w:after="20" w:line="240" w:lineRule="auto"/>
            </w:pPr>
            <w:r>
              <w:rPr>
                <w:sz w:val="19"/>
              </w:rPr>
              <w:t>Model development</w:t>
            </w:r>
          </w:p>
        </w:tc>
        <w:tc>
          <w:tcPr>
            <w:tcW w:type="dxa" w:w="4082"/>
            <w:shd w:val="clear" w:color="auto" w:fill="F3F6FA"/>
          </w:tcPr>
          <w:p>
            <w:pPr>
              <w:spacing w:after="20" w:line="240" w:lineRule="auto"/>
            </w:pPr>
            <w:r>
              <w:rPr>
                <w:sz w:val="19"/>
              </w:rPr>
              <w:t>Statistics module; LR/RF pipelines; evaluation; model selection</w:t>
            </w:r>
          </w:p>
        </w:tc>
        <w:tc>
          <w:tcPr>
            <w:tcW w:type="dxa" w:w="2812"/>
            <w:shd w:val="clear" w:color="auto" w:fill="F3F6FA"/>
          </w:tcPr>
          <w:p>
            <w:pPr>
              <w:spacing w:after="20" w:line="240" w:lineRule="auto"/>
            </w:pPr>
            <w:r>
              <w:rPr>
                <w:rFonts w:ascii="Consolas" w:hAnsi="Consolas"/>
                <w:sz w:val="19"/>
              </w:rPr>
              <w:t>analysis.py</w:t>
            </w:r>
            <w:r>
              <w:rPr>
                <w:sz w:val="19"/>
              </w:rPr>
              <w:t xml:space="preserve">, </w:t>
            </w:r>
            <w:r>
              <w:rPr>
                <w:rFonts w:ascii="Consolas" w:hAnsi="Consolas"/>
                <w:sz w:val="19"/>
              </w:rPr>
              <w:t>ml.py</w:t>
            </w:r>
            <w:r>
              <w:rPr>
                <w:sz w:val="19"/>
              </w:rPr>
              <w:t xml:space="preserve">, </w:t>
            </w:r>
            <w:r>
              <w:rPr>
                <w:rFonts w:ascii="Consolas" w:hAnsi="Consolas"/>
                <w:sz w:val="19"/>
              </w:rPr>
              <w:t>metrics.json</w:t>
            </w:r>
          </w:p>
        </w:tc>
      </w:tr>
      <w:tr>
        <w:tc>
          <w:tcPr>
            <w:tcW w:type="dxa" w:w="550"/>
          </w:tcPr>
          <w:p>
            <w:pPr>
              <w:spacing w:after="20" w:line="240" w:lineRule="auto"/>
            </w:pPr>
            <w:r>
              <w:rPr>
                <w:sz w:val="19"/>
              </w:rPr>
              <w:t>WP5</w:t>
            </w:r>
          </w:p>
        </w:tc>
        <w:tc>
          <w:tcPr>
            <w:tcW w:type="dxa" w:w="1627"/>
          </w:tcPr>
          <w:p>
            <w:pPr>
              <w:spacing w:after="20" w:line="240" w:lineRule="auto"/>
            </w:pPr>
            <w:r>
              <w:rPr>
                <w:sz w:val="19"/>
              </w:rPr>
              <w:t>Frontend development</w:t>
            </w:r>
          </w:p>
        </w:tc>
        <w:tc>
          <w:tcPr>
            <w:tcW w:type="dxa" w:w="4082"/>
          </w:tcPr>
          <w:p>
            <w:pPr>
              <w:spacing w:after="20" w:line="240" w:lineRule="auto"/>
            </w:pPr>
            <w:r>
              <w:rPr>
                <w:sz w:val="19"/>
              </w:rPr>
              <w:t>Flask routes, templates, charts, CRUD, prediction, API</w:t>
            </w:r>
          </w:p>
        </w:tc>
        <w:tc>
          <w:tcPr>
            <w:tcW w:type="dxa" w:w="2812"/>
          </w:tcPr>
          <w:p>
            <w:pPr>
              <w:spacing w:after="20" w:line="240" w:lineRule="auto"/>
            </w:pPr>
            <w:r>
              <w:rPr>
                <w:rFonts w:ascii="Consolas" w:hAnsi="Consolas"/>
                <w:sz w:val="19"/>
              </w:rPr>
              <w:t>app.py</w:t>
            </w:r>
            <w:r>
              <w:rPr>
                <w:sz w:val="19"/>
              </w:rPr>
              <w:t xml:space="preserve">, </w:t>
            </w:r>
            <w:r>
              <w:rPr>
                <w:rFonts w:ascii="Consolas" w:hAnsi="Consolas"/>
                <w:sz w:val="19"/>
              </w:rPr>
              <w:t>templates/</w:t>
            </w:r>
            <w:r>
              <w:rPr>
                <w:sz w:val="19"/>
              </w:rPr>
              <w:t xml:space="preserve">, </w:t>
            </w:r>
            <w:r>
              <w:rPr>
                <w:rFonts w:ascii="Consolas" w:hAnsi="Consolas"/>
                <w:sz w:val="19"/>
              </w:rPr>
              <w:t>charts.py</w:t>
            </w:r>
          </w:p>
        </w:tc>
      </w:tr>
      <w:tr>
        <w:tc>
          <w:tcPr>
            <w:tcW w:type="dxa" w:w="550"/>
            <w:shd w:val="clear" w:color="auto" w:fill="F3F6FA"/>
          </w:tcPr>
          <w:p>
            <w:pPr>
              <w:spacing w:after="20" w:line="240" w:lineRule="auto"/>
            </w:pPr>
            <w:r>
              <w:rPr>
                <w:sz w:val="19"/>
              </w:rPr>
              <w:t>WP6</w:t>
            </w:r>
          </w:p>
        </w:tc>
        <w:tc>
          <w:tcPr>
            <w:tcW w:type="dxa" w:w="1627"/>
            <w:shd w:val="clear" w:color="auto" w:fill="F3F6FA"/>
          </w:tcPr>
          <w:p>
            <w:pPr>
              <w:spacing w:after="20" w:line="240" w:lineRule="auto"/>
            </w:pPr>
            <w:r>
              <w:rPr>
                <w:sz w:val="19"/>
              </w:rPr>
              <w:t>Testing &amp; validation</w:t>
            </w:r>
          </w:p>
        </w:tc>
        <w:tc>
          <w:tcPr>
            <w:tcW w:type="dxa" w:w="4082"/>
            <w:shd w:val="clear" w:color="auto" w:fill="F3F6FA"/>
          </w:tcPr>
          <w:p>
            <w:pPr>
              <w:spacing w:after="20" w:line="240" w:lineRule="auto"/>
            </w:pPr>
            <w:r>
              <w:rPr>
                <w:sz w:val="19"/>
              </w:rPr>
              <w:t>Unit tests (derive, critical r), integration tests (pages, CRUD, API), metric review</w:t>
            </w:r>
          </w:p>
        </w:tc>
        <w:tc>
          <w:tcPr>
            <w:tcW w:type="dxa" w:w="2812"/>
            <w:shd w:val="clear" w:color="auto" w:fill="F3F6FA"/>
          </w:tcPr>
          <w:p>
            <w:pPr>
              <w:spacing w:after="20" w:line="240" w:lineRule="auto"/>
            </w:pPr>
            <w:r>
              <w:rPr>
                <w:rFonts w:ascii="Consolas" w:hAnsi="Consolas"/>
                <w:sz w:val="19"/>
              </w:rPr>
              <w:t>tests/</w:t>
            </w:r>
            <w:r>
              <w:rPr>
                <w:sz w:val="19"/>
              </w:rPr>
              <w:t>, §21</w:t>
            </w:r>
          </w:p>
        </w:tc>
      </w:tr>
      <w:tr>
        <w:tc>
          <w:tcPr>
            <w:tcW w:type="dxa" w:w="550"/>
          </w:tcPr>
          <w:p>
            <w:pPr>
              <w:spacing w:after="20" w:line="240" w:lineRule="auto"/>
            </w:pPr>
            <w:r>
              <w:rPr>
                <w:sz w:val="19"/>
              </w:rPr>
              <w:t>WP7</w:t>
            </w:r>
          </w:p>
        </w:tc>
        <w:tc>
          <w:tcPr>
            <w:tcW w:type="dxa" w:w="1627"/>
          </w:tcPr>
          <w:p>
            <w:pPr>
              <w:spacing w:after="20" w:line="240" w:lineRule="auto"/>
            </w:pPr>
            <w:r>
              <w:rPr>
                <w:sz w:val="19"/>
              </w:rPr>
              <w:t>Deployment &amp; documentation</w:t>
            </w:r>
          </w:p>
        </w:tc>
        <w:tc>
          <w:tcPr>
            <w:tcW w:type="dxa" w:w="4082"/>
          </w:tcPr>
          <w:p>
            <w:pPr>
              <w:spacing w:after="20" w:line="240" w:lineRule="auto"/>
            </w:pPr>
            <w:r>
              <w:rPr>
                <w:sz w:val="19"/>
              </w:rPr>
              <w:t>README, report, presentation, screenshots, demo video, ZIP</w:t>
            </w:r>
          </w:p>
        </w:tc>
        <w:tc>
          <w:tcPr>
            <w:tcW w:type="dxa" w:w="2812"/>
          </w:tcPr>
          <w:p>
            <w:pPr>
              <w:spacing w:after="20" w:line="240" w:lineRule="auto"/>
            </w:pPr>
            <w:r>
              <w:rPr>
                <w:sz w:val="19"/>
              </w:rPr>
              <w:t>this report, PPT, video link</w:t>
            </w:r>
          </w:p>
        </w:tc>
      </w:tr>
    </w:tbl>
    <w:p>
      <w:pPr>
        <w:spacing w:after="40"/>
      </w:pPr>
    </w:p>
    <w:p>
      <w:pPr>
        <w:pStyle w:val="Heading1"/>
      </w:pPr>
      <w:r>
        <w:t>15. Gantt Chart</w:t>
      </w:r>
    </w:p>
    <w:p>
      <w:pPr>
        <w:keepNext/>
        <w:jc w:val="center"/>
      </w:pPr>
      <w:r>
        <w:drawing>
          <wp:inline xmlns:a="http://schemas.openxmlformats.org/drawingml/2006/main" xmlns:pic="http://schemas.openxmlformats.org/drawingml/2006/picture">
            <wp:extent cx="5760000" cy="1854156"/>
            <wp:docPr id="6" name="Picture 6"/>
            <wp:cNvGraphicFramePr>
              <a:graphicFrameLocks noChangeAspect="1"/>
            </wp:cNvGraphicFramePr>
            <a:graphic>
              <a:graphicData uri="http://schemas.openxmlformats.org/drawingml/2006/picture">
                <pic:pic>
                  <pic:nvPicPr>
                    <pic:cNvPr id="0" name="fig_15_gantt.png"/>
                    <pic:cNvPicPr/>
                  </pic:nvPicPr>
                  <pic:blipFill>
                    <a:blip r:embed="rId15"/>
                    <a:stretch>
                      <a:fillRect/>
                    </a:stretch>
                  </pic:blipFill>
                  <pic:spPr>
                    <a:xfrm>
                      <a:off x="0" y="0"/>
                      <a:ext cx="5760000" cy="1854156"/>
                    </a:xfrm>
                    <a:prstGeom prst="rect"/>
                  </pic:spPr>
                </pic:pic>
              </a:graphicData>
            </a:graphic>
          </wp:inline>
        </w:drawing>
      </w:r>
    </w:p>
    <w:p>
      <w:pPr>
        <w:pStyle w:val="Caption"/>
        <w:jc w:val="center"/>
      </w:pPr>
      <w:r>
        <w:t>Fig. 15.1 Gantt chart (start 14 Sep 2026)</w:t>
      </w:r>
    </w:p>
    <w:tbl>
      <w:tblPr>
        <w:tblStyle w:val="TableGrid"/>
        <w:tblW w:type="auto" w:w="0"/>
        <w:jc w:val="center"/>
        <w:tblLayout w:type="fixed"/>
        <w:tblLook w:firstColumn="1" w:firstRow="1" w:lastColumn="0" w:lastRow="0" w:noHBand="0" w:noVBand="1" w:val="04A0"/>
      </w:tblPr>
      <w:tblGrid>
        <w:gridCol w:w="4672"/>
        <w:gridCol w:w="657"/>
        <w:gridCol w:w="3742"/>
      </w:tblGrid>
      <w:tr>
        <w:trPr>
          <w:tblHeader w:val="true"/>
        </w:trPr>
        <w:tc>
          <w:tcPr>
            <w:tcW w:type="dxa" w:w="4672"/>
            <w:shd w:val="clear" w:color="auto" w:fill="1F3A5F"/>
          </w:tcPr>
          <w:p>
            <w:pPr>
              <w:spacing w:after="20" w:line="240" w:lineRule="auto"/>
            </w:pPr>
            <w:r>
              <w:rPr>
                <w:b/>
                <w:color w:val="FFFFFF"/>
                <w:sz w:val="19"/>
              </w:rPr>
              <w:t>Milestone</w:t>
            </w:r>
          </w:p>
        </w:tc>
        <w:tc>
          <w:tcPr>
            <w:tcW w:type="dxa" w:w="658"/>
            <w:shd w:val="clear" w:color="auto" w:fill="1F3A5F"/>
          </w:tcPr>
          <w:p>
            <w:pPr>
              <w:spacing w:after="20" w:line="240" w:lineRule="auto"/>
            </w:pPr>
            <w:r>
              <w:rPr>
                <w:b/>
                <w:color w:val="FFFFFF"/>
                <w:sz w:val="19"/>
              </w:rPr>
              <w:t>Week</w:t>
            </w:r>
          </w:p>
        </w:tc>
        <w:tc>
          <w:tcPr>
            <w:tcW w:type="dxa" w:w="3742"/>
            <w:shd w:val="clear" w:color="auto" w:fill="1F3A5F"/>
          </w:tcPr>
          <w:p>
            <w:pPr>
              <w:spacing w:after="20" w:line="240" w:lineRule="auto"/>
            </w:pPr>
            <w:r>
              <w:rPr>
                <w:b/>
                <w:color w:val="FFFFFF"/>
                <w:sz w:val="19"/>
              </w:rPr>
              <w:t>Dependency</w:t>
            </w:r>
          </w:p>
        </w:tc>
      </w:tr>
      <w:tr>
        <w:tc>
          <w:tcPr>
            <w:tcW w:type="dxa" w:w="4672"/>
          </w:tcPr>
          <w:p>
            <w:pPr>
              <w:spacing w:after="20" w:line="240" w:lineRule="auto"/>
            </w:pPr>
            <w:r>
              <w:rPr>
                <w:sz w:val="19"/>
              </w:rPr>
              <w:t>M1 Requirements approved</w:t>
            </w:r>
          </w:p>
        </w:tc>
        <w:tc>
          <w:tcPr>
            <w:tcW w:type="dxa" w:w="658"/>
          </w:tcPr>
          <w:p>
            <w:pPr>
              <w:spacing w:after="20" w:line="240" w:lineRule="auto"/>
            </w:pPr>
            <w:r>
              <w:rPr>
                <w:sz w:val="19"/>
              </w:rPr>
              <w:t>1</w:t>
            </w:r>
          </w:p>
        </w:tc>
        <w:tc>
          <w:tcPr>
            <w:tcW w:type="dxa" w:w="3742"/>
          </w:tcPr>
          <w:p>
            <w:pPr>
              <w:spacing w:after="20" w:line="240" w:lineRule="auto"/>
            </w:pPr>
            <w:r>
              <w:rPr>
                <w:sz w:val="19"/>
              </w:rPr>
              <w:t>–</w:t>
            </w:r>
          </w:p>
        </w:tc>
      </w:tr>
      <w:tr>
        <w:tc>
          <w:tcPr>
            <w:tcW w:type="dxa" w:w="4672"/>
            <w:shd w:val="clear" w:color="auto" w:fill="F3F6FA"/>
          </w:tcPr>
          <w:p>
            <w:pPr>
              <w:spacing w:after="20" w:line="240" w:lineRule="auto"/>
            </w:pPr>
            <w:r>
              <w:rPr>
                <w:sz w:val="19"/>
              </w:rPr>
              <w:t>M2 Dataset + DB ready</w:t>
            </w:r>
          </w:p>
        </w:tc>
        <w:tc>
          <w:tcPr>
            <w:tcW w:type="dxa" w:w="658"/>
            <w:shd w:val="clear" w:color="auto" w:fill="F3F6FA"/>
          </w:tcPr>
          <w:p>
            <w:pPr>
              <w:spacing w:after="20" w:line="240" w:lineRule="auto"/>
            </w:pPr>
            <w:r>
              <w:rPr>
                <w:sz w:val="19"/>
              </w:rPr>
              <w:t>3</w:t>
            </w:r>
          </w:p>
        </w:tc>
        <w:tc>
          <w:tcPr>
            <w:tcW w:type="dxa" w:w="3742"/>
            <w:shd w:val="clear" w:color="auto" w:fill="F3F6FA"/>
          </w:tcPr>
          <w:p>
            <w:pPr>
              <w:spacing w:after="20" w:line="240" w:lineRule="auto"/>
            </w:pPr>
            <w:r>
              <w:rPr>
                <w:sz w:val="19"/>
              </w:rPr>
              <w:t>WP1 → WP2 → WP3</w:t>
            </w:r>
          </w:p>
        </w:tc>
      </w:tr>
      <w:tr>
        <w:tc>
          <w:tcPr>
            <w:tcW w:type="dxa" w:w="4672"/>
          </w:tcPr>
          <w:p>
            <w:pPr>
              <w:spacing w:after="20" w:line="240" w:lineRule="auto"/>
            </w:pPr>
            <w:r>
              <w:rPr>
                <w:sz w:val="19"/>
              </w:rPr>
              <w:t>M3 Models trained &amp; evaluated</w:t>
            </w:r>
          </w:p>
        </w:tc>
        <w:tc>
          <w:tcPr>
            <w:tcW w:type="dxa" w:w="658"/>
          </w:tcPr>
          <w:p>
            <w:pPr>
              <w:spacing w:after="20" w:line="240" w:lineRule="auto"/>
            </w:pPr>
            <w:r>
              <w:rPr>
                <w:sz w:val="19"/>
              </w:rPr>
              <w:t>4–5</w:t>
            </w:r>
          </w:p>
        </w:tc>
        <w:tc>
          <w:tcPr>
            <w:tcW w:type="dxa" w:w="3742"/>
          </w:tcPr>
          <w:p>
            <w:pPr>
              <w:spacing w:after="20" w:line="240" w:lineRule="auto"/>
            </w:pPr>
            <w:r>
              <w:rPr>
                <w:sz w:val="19"/>
              </w:rPr>
              <w:t>WP3 → WP4</w:t>
            </w:r>
          </w:p>
        </w:tc>
      </w:tr>
      <w:tr>
        <w:tc>
          <w:tcPr>
            <w:tcW w:type="dxa" w:w="4672"/>
            <w:shd w:val="clear" w:color="auto" w:fill="F3F6FA"/>
          </w:tcPr>
          <w:p>
            <w:pPr>
              <w:spacing w:after="20" w:line="240" w:lineRule="auto"/>
            </w:pPr>
            <w:r>
              <w:rPr>
                <w:sz w:val="19"/>
              </w:rPr>
              <w:t>M4 App feature-complete</w:t>
            </w:r>
          </w:p>
        </w:tc>
        <w:tc>
          <w:tcPr>
            <w:tcW w:type="dxa" w:w="658"/>
            <w:shd w:val="clear" w:color="auto" w:fill="F3F6FA"/>
          </w:tcPr>
          <w:p>
            <w:pPr>
              <w:spacing w:after="20" w:line="240" w:lineRule="auto"/>
            </w:pPr>
            <w:r>
              <w:rPr>
                <w:sz w:val="19"/>
              </w:rPr>
              <w:t>5</w:t>
            </w:r>
          </w:p>
        </w:tc>
        <w:tc>
          <w:tcPr>
            <w:tcW w:type="dxa" w:w="3742"/>
            <w:shd w:val="clear" w:color="auto" w:fill="F3F6FA"/>
          </w:tcPr>
          <w:p>
            <w:pPr>
              <w:spacing w:after="20" w:line="240" w:lineRule="auto"/>
            </w:pPr>
            <w:r>
              <w:rPr>
                <w:sz w:val="19"/>
              </w:rPr>
              <w:t>WP3 → WP5 (parallel with WP4)</w:t>
            </w:r>
          </w:p>
        </w:tc>
      </w:tr>
      <w:tr>
        <w:tc>
          <w:tcPr>
            <w:tcW w:type="dxa" w:w="4672"/>
          </w:tcPr>
          <w:p>
            <w:pPr>
              <w:spacing w:after="20" w:line="240" w:lineRule="auto"/>
            </w:pPr>
            <w:r>
              <w:rPr>
                <w:sz w:val="19"/>
              </w:rPr>
              <w:t>M5 Tests pass</w:t>
            </w:r>
          </w:p>
        </w:tc>
        <w:tc>
          <w:tcPr>
            <w:tcW w:type="dxa" w:w="658"/>
          </w:tcPr>
          <w:p>
            <w:pPr>
              <w:spacing w:after="20" w:line="240" w:lineRule="auto"/>
            </w:pPr>
            <w:r>
              <w:rPr>
                <w:sz w:val="19"/>
              </w:rPr>
              <w:t>6</w:t>
            </w:r>
          </w:p>
        </w:tc>
        <w:tc>
          <w:tcPr>
            <w:tcW w:type="dxa" w:w="3742"/>
          </w:tcPr>
          <w:p>
            <w:pPr>
              <w:spacing w:after="20" w:line="240" w:lineRule="auto"/>
            </w:pPr>
            <w:r>
              <w:rPr>
                <w:sz w:val="19"/>
              </w:rPr>
              <w:t>WP4 and WP5 → WP6</w:t>
            </w:r>
          </w:p>
        </w:tc>
      </w:tr>
      <w:tr>
        <w:tc>
          <w:tcPr>
            <w:tcW w:type="dxa" w:w="4672"/>
            <w:shd w:val="clear" w:color="auto" w:fill="F3F6FA"/>
          </w:tcPr>
          <w:p>
            <w:pPr>
              <w:spacing w:after="20" w:line="240" w:lineRule="auto"/>
            </w:pPr>
            <w:r>
              <w:rPr>
                <w:sz w:val="19"/>
              </w:rPr>
              <w:t>M6 Submission (ZIP + video)</w:t>
            </w:r>
          </w:p>
        </w:tc>
        <w:tc>
          <w:tcPr>
            <w:tcW w:type="dxa" w:w="658"/>
            <w:shd w:val="clear" w:color="auto" w:fill="F3F6FA"/>
          </w:tcPr>
          <w:p>
            <w:pPr>
              <w:spacing w:after="20" w:line="240" w:lineRule="auto"/>
            </w:pPr>
            <w:r>
              <w:rPr>
                <w:sz w:val="19"/>
              </w:rPr>
              <w:t>7</w:t>
            </w:r>
          </w:p>
        </w:tc>
        <w:tc>
          <w:tcPr>
            <w:tcW w:type="dxa" w:w="3742"/>
            <w:shd w:val="clear" w:color="auto" w:fill="F3F6FA"/>
          </w:tcPr>
          <w:p>
            <w:pPr>
              <w:spacing w:after="20" w:line="240" w:lineRule="auto"/>
            </w:pPr>
            <w:r>
              <w:rPr>
                <w:sz w:val="19"/>
              </w:rPr>
              <w:t>WP6 → WP7</w:t>
            </w:r>
          </w:p>
        </w:tc>
      </w:tr>
    </w:tbl>
    <w:p>
      <w:pPr>
        <w:spacing w:after="40"/>
      </w:pPr>
    </w:p>
    <w:p>
      <w:r>
        <w:t>Total duration: about 7 weeks (≈ 35 working days).</w:t>
      </w:r>
    </w:p>
    <w:p>
      <w:pPr>
        <w:pStyle w:val="Heading1"/>
      </w:pPr>
      <w:r>
        <w:t>16. SWOT Analysis</w:t>
      </w:r>
    </w:p>
    <w:tbl>
      <w:tblPr>
        <w:tblStyle w:val="TableGrid"/>
        <w:tblW w:type="auto" w:w="0"/>
        <w:jc w:val="center"/>
        <w:tblLayout w:type="fixed"/>
        <w:tblLook w:firstColumn="1" w:firstRow="1" w:lastColumn="0" w:lastRow="0" w:noHBand="0" w:noVBand="1" w:val="04A0"/>
      </w:tblPr>
      <w:tblGrid>
        <w:gridCol w:w="4807"/>
        <w:gridCol w:w="4264"/>
      </w:tblGrid>
      <w:tr>
        <w:trPr>
          <w:tblHeader w:val="true"/>
        </w:trPr>
        <w:tc>
          <w:tcPr>
            <w:tcW w:type="dxa" w:w="4807"/>
            <w:shd w:val="clear" w:color="auto" w:fill="1F3A5F"/>
          </w:tcPr>
          <w:p>
            <w:pPr>
              <w:spacing w:after="20" w:line="240" w:lineRule="auto"/>
            </w:pPr>
            <w:r>
              <w:rPr>
                <w:b/>
                <w:color w:val="FFFFFF"/>
                <w:sz w:val="19"/>
              </w:rPr>
              <w:t>Strengths</w:t>
            </w:r>
          </w:p>
        </w:tc>
        <w:tc>
          <w:tcPr>
            <w:tcW w:type="dxa" w:w="4263"/>
            <w:shd w:val="clear" w:color="auto" w:fill="1F3A5F"/>
          </w:tcPr>
          <w:p>
            <w:pPr>
              <w:spacing w:after="20" w:line="240" w:lineRule="auto"/>
            </w:pPr>
            <w:r>
              <w:rPr>
                <w:b/>
                <w:color w:val="FFFFFF"/>
                <w:sz w:val="19"/>
              </w:rPr>
              <w:t>Weaknesses</w:t>
            </w:r>
          </w:p>
        </w:tc>
      </w:tr>
      <w:tr>
        <w:tc>
          <w:tcPr>
            <w:tcW w:type="dxa" w:w="4807"/>
            <w:shd w:val="clear" w:color="auto" w:fill="E8F0FA"/>
          </w:tcPr>
          <w:p>
            <w:pPr>
              <w:spacing w:after="20" w:line="240" w:lineRule="auto"/>
            </w:pPr>
            <w:r>
              <w:rPr>
                <w:sz w:val="19"/>
              </w:rPr>
              <w:t>Grounded in a completed Master's thesis and validated instruments (Luria, Schulte, Digit Span, Halpern-style CT task)</w:t>
            </w:r>
          </w:p>
        </w:tc>
        <w:tc>
          <w:tcPr>
            <w:tcW w:type="dxa" w:w="4263"/>
            <w:shd w:val="clear" w:color="auto" w:fill="FDF0E6"/>
          </w:tcPr>
          <w:p>
            <w:pPr>
              <w:spacing w:after="20" w:line="240" w:lineRule="auto"/>
            </w:pPr>
            <w:r>
              <w:rPr>
                <w:sz w:val="19"/>
              </w:rPr>
              <w:t>Synthetic data, so the results demonstrate the method and do not show real effects</w:t>
            </w:r>
          </w:p>
        </w:tc>
      </w:tr>
      <w:tr>
        <w:tc>
          <w:tcPr>
            <w:tcW w:type="dxa" w:w="4807"/>
            <w:shd w:val="clear" w:color="auto" w:fill="E8F0FA"/>
          </w:tcPr>
          <w:p>
            <w:pPr>
              <w:spacing w:after="20" w:line="240" w:lineRule="auto"/>
            </w:pPr>
            <w:r>
              <w:rPr>
                <w:sz w:val="19"/>
              </w:rPr>
              <w:t>Prediction from questionnaire answers alone (early screening without testing)</w:t>
            </w:r>
          </w:p>
        </w:tc>
        <w:tc>
          <w:tcPr>
            <w:tcW w:type="dxa" w:w="4263"/>
            <w:shd w:val="clear" w:color="auto" w:fill="FDF0E6"/>
          </w:tcPr>
          <w:p>
            <w:pPr>
              <w:spacing w:after="20" w:line="240" w:lineRule="auto"/>
            </w:pPr>
            <w:r>
              <w:rPr>
                <w:sz w:val="19"/>
              </w:rPr>
              <w:t>Small feature set; self-report bias in the questionnaire</w:t>
            </w:r>
          </w:p>
        </w:tc>
      </w:tr>
      <w:tr>
        <w:tc>
          <w:tcPr>
            <w:tcW w:type="dxa" w:w="4807"/>
            <w:shd w:val="clear" w:color="auto" w:fill="E8F0FA"/>
          </w:tcPr>
          <w:p>
            <w:pPr>
              <w:spacing w:after="20" w:line="240" w:lineRule="auto"/>
            </w:pPr>
            <w:r>
              <w:rPr>
                <w:sz w:val="19"/>
              </w:rPr>
              <w:t>Transparent: interpretable LR coefficients and statistics matching the thesis tables</w:t>
            </w:r>
          </w:p>
        </w:tc>
        <w:tc>
          <w:tcPr>
            <w:tcW w:type="dxa" w:w="4263"/>
            <w:shd w:val="clear" w:color="auto" w:fill="FDF0E6"/>
          </w:tcPr>
          <w:p>
            <w:pPr>
              <w:spacing w:after="20" w:line="240" w:lineRule="auto"/>
            </w:pPr>
            <w:r>
              <w:rPr>
                <w:sz w:val="19"/>
              </w:rPr>
              <w:t>Attention index and cut-offs are not clinically normed</w:t>
            </w:r>
          </w:p>
        </w:tc>
      </w:tr>
      <w:tr>
        <w:tc>
          <w:tcPr>
            <w:tcW w:type="dxa" w:w="4807"/>
            <w:shd w:val="clear" w:color="auto" w:fill="E8F0FA"/>
          </w:tcPr>
          <w:p>
            <w:pPr>
              <w:spacing w:after="20" w:line="240" w:lineRule="auto"/>
            </w:pPr>
            <w:r>
              <w:rPr>
                <w:sz w:val="19"/>
              </w:rPr>
              <w:t>Lightweight stack, runs offline, full CRUD, reproducible (seeds, tests)</w:t>
            </w:r>
          </w:p>
        </w:tc>
        <w:tc>
          <w:tcPr>
            <w:tcW w:type="dxa" w:w="4263"/>
            <w:shd w:val="clear" w:color="auto" w:fill="FDF0E6"/>
          </w:tcPr>
          <w:p>
            <w:pPr>
              <w:spacing w:after="20" w:line="240" w:lineRule="auto"/>
            </w:pPr>
            <w:r>
              <w:rPr>
                <w:sz w:val="19"/>
              </w:rPr>
              <w:t>No authentication yet; single-table schema</w:t>
            </w:r>
          </w:p>
        </w:tc>
      </w:tr>
    </w:tbl>
    <w:p>
      <w:pPr>
        <w:spacing w:after="40"/>
      </w:pPr>
    </w:p>
    <w:tbl>
      <w:tblPr>
        <w:tblStyle w:val="TableGrid"/>
        <w:tblW w:type="auto" w:w="0"/>
        <w:jc w:val="center"/>
        <w:tblLayout w:type="fixed"/>
        <w:tblLook w:firstColumn="1" w:firstRow="1" w:lastColumn="0" w:lastRow="0" w:noHBand="0" w:noVBand="1" w:val="04A0"/>
      </w:tblPr>
      <w:tblGrid>
        <w:gridCol w:w="4756"/>
        <w:gridCol w:w="4315"/>
      </w:tblGrid>
      <w:tr>
        <w:trPr>
          <w:tblHeader w:val="true"/>
        </w:trPr>
        <w:tc>
          <w:tcPr>
            <w:tcW w:type="dxa" w:w="4756"/>
            <w:shd w:val="clear" w:color="auto" w:fill="1F3A5F"/>
          </w:tcPr>
          <w:p>
            <w:pPr>
              <w:spacing w:after="20" w:line="240" w:lineRule="auto"/>
            </w:pPr>
            <w:r>
              <w:rPr>
                <w:b/>
                <w:color w:val="FFFFFF"/>
                <w:sz w:val="19"/>
              </w:rPr>
              <w:t>Opportunities</w:t>
            </w:r>
          </w:p>
        </w:tc>
        <w:tc>
          <w:tcPr>
            <w:tcW w:type="dxa" w:w="4315"/>
            <w:shd w:val="clear" w:color="auto" w:fill="1F3A5F"/>
          </w:tcPr>
          <w:p>
            <w:pPr>
              <w:spacing w:after="20" w:line="240" w:lineRule="auto"/>
            </w:pPr>
            <w:r>
              <w:rPr>
                <w:b/>
                <w:color w:val="FFFFFF"/>
                <w:sz w:val="19"/>
              </w:rPr>
              <w:t>Threats</w:t>
            </w:r>
          </w:p>
        </w:tc>
      </w:tr>
      <w:tr>
        <w:tc>
          <w:tcPr>
            <w:tcW w:type="dxa" w:w="4756"/>
            <w:shd w:val="clear" w:color="auto" w:fill="E8F0FA"/>
          </w:tcPr>
          <w:p>
            <w:pPr>
              <w:spacing w:after="20" w:line="240" w:lineRule="auto"/>
            </w:pPr>
            <w:r>
              <w:rPr>
                <w:sz w:val="19"/>
              </w:rPr>
              <w:t>Real follow-up study with 40–50+ students as the thesis recommends; the tool is ready to store it</w:t>
            </w:r>
          </w:p>
        </w:tc>
        <w:tc>
          <w:tcPr>
            <w:tcW w:type="dxa" w:w="4315"/>
            <w:shd w:val="clear" w:color="auto" w:fill="FDF0E6"/>
          </w:tcPr>
          <w:p>
            <w:pPr>
              <w:spacing w:after="20" w:line="240" w:lineRule="auto"/>
            </w:pPr>
            <w:r>
              <w:rPr>
                <w:sz w:val="19"/>
              </w:rPr>
              <w:t>GDPR and ethics constraints on data about minors</w:t>
            </w:r>
          </w:p>
        </w:tc>
      </w:tr>
      <w:tr>
        <w:tc>
          <w:tcPr>
            <w:tcW w:type="dxa" w:w="4756"/>
            <w:shd w:val="clear" w:color="auto" w:fill="E8F0FA"/>
          </w:tcPr>
          <w:p>
            <w:pPr>
              <w:spacing w:after="20" w:line="240" w:lineRule="auto"/>
            </w:pPr>
            <w:r>
              <w:rPr>
                <w:sz w:val="19"/>
              </w:rPr>
              <w:t>Longitudinal tracking of AI habits across school years</w:t>
            </w:r>
          </w:p>
        </w:tc>
        <w:tc>
          <w:tcPr>
            <w:tcW w:type="dxa" w:w="4315"/>
            <w:shd w:val="clear" w:color="auto" w:fill="FDF0E6"/>
          </w:tcPr>
          <w:p>
            <w:pPr>
              <w:spacing w:after="20" w:line="240" w:lineRule="auto"/>
            </w:pPr>
            <w:r>
              <w:rPr>
                <w:sz w:val="19"/>
              </w:rPr>
              <w:t>Mislabelling students ("at risk") could stigmatise them; models must stay advisory</w:t>
            </w:r>
          </w:p>
        </w:tc>
      </w:tr>
      <w:tr>
        <w:tc>
          <w:tcPr>
            <w:tcW w:type="dxa" w:w="4756"/>
            <w:shd w:val="clear" w:color="auto" w:fill="E8F0FA"/>
          </w:tcPr>
          <w:p>
            <w:pPr>
              <w:spacing w:after="20" w:line="240" w:lineRule="auto"/>
            </w:pPr>
            <w:r>
              <w:rPr>
                <w:sz w:val="19"/>
              </w:rPr>
              <w:t>Transfer to organisations: AI-reliance screening of employees (the thesis business angle)</w:t>
            </w:r>
          </w:p>
        </w:tc>
        <w:tc>
          <w:tcPr>
            <w:tcW w:type="dxa" w:w="4315"/>
            <w:shd w:val="clear" w:color="auto" w:fill="FDF0E6"/>
          </w:tcPr>
          <w:p>
            <w:pPr>
              <w:spacing w:after="20" w:line="240" w:lineRule="auto"/>
            </w:pPr>
            <w:r>
              <w:rPr>
                <w:sz w:val="19"/>
              </w:rPr>
              <w:t>Fast-changing AI tools make questionnaire items outdated</w:t>
            </w:r>
          </w:p>
        </w:tc>
      </w:tr>
      <w:tr>
        <w:tc>
          <w:tcPr>
            <w:tcW w:type="dxa" w:w="4756"/>
            <w:shd w:val="clear" w:color="auto" w:fill="E8F0FA"/>
          </w:tcPr>
          <w:p>
            <w:pPr>
              <w:spacing w:after="20" w:line="240" w:lineRule="auto"/>
            </w:pPr>
            <w:r>
              <w:rPr>
                <w:sz w:val="19"/>
              </w:rPr>
              <w:t>Integration with Moodle/e-class; EU AI-literacy policy push</w:t>
            </w:r>
          </w:p>
        </w:tc>
        <w:tc>
          <w:tcPr>
            <w:tcW w:type="dxa" w:w="4315"/>
            <w:shd w:val="clear" w:color="auto" w:fill="FDF0E6"/>
          </w:tcPr>
          <w:p>
            <w:pPr>
              <w:spacing w:after="20" w:line="240" w:lineRule="auto"/>
            </w:pPr>
            <w:r>
              <w:rPr>
                <w:sz w:val="19"/>
              </w:rPr>
              <w:t>Confounding (ability, SES) may lead to wrong causal conclusions</w:t>
            </w:r>
          </w:p>
        </w:tc>
      </w:tr>
    </w:tbl>
    <w:p>
      <w:pPr>
        <w:spacing w:after="40"/>
      </w:pPr>
    </w:p>
    <w:p>
      <w:pPr>
        <w:pStyle w:val="Heading1"/>
      </w:pPr>
      <w:r>
        <w:t>17. Risk Analysis &amp; Mitigation Plan</w:t>
      </w:r>
    </w:p>
    <w:tbl>
      <w:tblPr>
        <w:tblStyle w:val="TableGrid"/>
        <w:tblW w:type="auto" w:w="0"/>
        <w:jc w:val="center"/>
        <w:tblLayout w:type="fixed"/>
        <w:tblLook w:firstColumn="1" w:firstRow="1" w:lastColumn="0" w:lastRow="0" w:noHBand="0" w:noVBand="1" w:val="04A0"/>
      </w:tblPr>
      <w:tblGrid>
        <w:gridCol w:w="1672"/>
        <w:gridCol w:w="1411"/>
        <w:gridCol w:w="1304"/>
        <w:gridCol w:w="873"/>
        <w:gridCol w:w="3810"/>
      </w:tblGrid>
      <w:tr>
        <w:trPr>
          <w:tblHeader w:val="true"/>
        </w:trPr>
        <w:tc>
          <w:tcPr>
            <w:tcW w:type="dxa" w:w="1673"/>
            <w:shd w:val="clear" w:color="auto" w:fill="1F3A5F"/>
          </w:tcPr>
          <w:p>
            <w:pPr>
              <w:spacing w:after="20" w:line="240" w:lineRule="auto"/>
            </w:pPr>
            <w:r>
              <w:rPr>
                <w:b/>
                <w:color w:val="FFFFFF"/>
                <w:sz w:val="19"/>
              </w:rPr>
              <w:t>Risk</w:t>
            </w:r>
          </w:p>
        </w:tc>
        <w:tc>
          <w:tcPr>
            <w:tcW w:type="dxa" w:w="1412"/>
            <w:shd w:val="clear" w:color="auto" w:fill="1F3A5F"/>
          </w:tcPr>
          <w:p>
            <w:pPr>
              <w:spacing w:after="20" w:line="240" w:lineRule="auto"/>
            </w:pPr>
            <w:r>
              <w:rPr>
                <w:b/>
                <w:color w:val="FFFFFF"/>
                <w:sz w:val="19"/>
              </w:rPr>
              <w:t>Category</w:t>
            </w:r>
          </w:p>
        </w:tc>
        <w:tc>
          <w:tcPr>
            <w:tcW w:type="dxa" w:w="1304"/>
            <w:shd w:val="clear" w:color="auto" w:fill="1F3A5F"/>
          </w:tcPr>
          <w:p>
            <w:pPr>
              <w:spacing w:after="20" w:line="240" w:lineRule="auto"/>
            </w:pPr>
            <w:r>
              <w:rPr>
                <w:b/>
                <w:color w:val="FFFFFF"/>
                <w:sz w:val="19"/>
              </w:rPr>
              <w:t>Likelihood</w:t>
            </w:r>
          </w:p>
        </w:tc>
        <w:tc>
          <w:tcPr>
            <w:tcW w:type="dxa" w:w="873"/>
            <w:shd w:val="clear" w:color="auto" w:fill="1F3A5F"/>
          </w:tcPr>
          <w:p>
            <w:pPr>
              <w:spacing w:after="20" w:line="240" w:lineRule="auto"/>
            </w:pPr>
            <w:r>
              <w:rPr>
                <w:b/>
                <w:color w:val="FFFFFF"/>
                <w:sz w:val="19"/>
              </w:rPr>
              <w:t>Impact</w:t>
            </w:r>
          </w:p>
        </w:tc>
        <w:tc>
          <w:tcPr>
            <w:tcW w:type="dxa" w:w="3810"/>
            <w:shd w:val="clear" w:color="auto" w:fill="1F3A5F"/>
          </w:tcPr>
          <w:p>
            <w:pPr>
              <w:spacing w:after="20" w:line="240" w:lineRule="auto"/>
            </w:pPr>
            <w:r>
              <w:rPr>
                <w:b/>
                <w:color w:val="FFFFFF"/>
                <w:sz w:val="19"/>
              </w:rPr>
              <w:t>Mitigation</w:t>
            </w:r>
          </w:p>
        </w:tc>
      </w:tr>
      <w:tr>
        <w:tc>
          <w:tcPr>
            <w:tcW w:type="dxa" w:w="1673"/>
          </w:tcPr>
          <w:p>
            <w:pPr>
              <w:spacing w:after="20" w:line="240" w:lineRule="auto"/>
            </w:pPr>
            <w:r>
              <w:rPr>
                <w:sz w:val="19"/>
              </w:rPr>
              <w:t>Synthetic effects misread as findings</w:t>
            </w:r>
          </w:p>
        </w:tc>
        <w:tc>
          <w:tcPr>
            <w:tcW w:type="dxa" w:w="1412"/>
          </w:tcPr>
          <w:p>
            <w:pPr>
              <w:spacing w:after="20" w:line="240" w:lineRule="auto"/>
            </w:pPr>
            <w:r>
              <w:rPr>
                <w:sz w:val="19"/>
              </w:rPr>
              <w:t>Dataset</w:t>
            </w:r>
          </w:p>
        </w:tc>
        <w:tc>
          <w:tcPr>
            <w:tcW w:type="dxa" w:w="1304"/>
          </w:tcPr>
          <w:p>
            <w:pPr>
              <w:spacing w:after="20" w:line="240" w:lineRule="auto"/>
            </w:pPr>
            <w:r>
              <w:rPr>
                <w:sz w:val="19"/>
              </w:rPr>
              <w:t>Medium</w:t>
            </w:r>
          </w:p>
        </w:tc>
        <w:tc>
          <w:tcPr>
            <w:tcW w:type="dxa" w:w="873"/>
          </w:tcPr>
          <w:p>
            <w:pPr>
              <w:spacing w:after="20" w:line="240" w:lineRule="auto"/>
            </w:pPr>
            <w:r>
              <w:rPr>
                <w:sz w:val="19"/>
              </w:rPr>
              <w:t>High</w:t>
            </w:r>
          </w:p>
        </w:tc>
        <w:tc>
          <w:tcPr>
            <w:tcW w:type="dxa" w:w="3810"/>
          </w:tcPr>
          <w:p>
            <w:pPr>
              <w:spacing w:after="20" w:line="240" w:lineRule="auto"/>
            </w:pPr>
            <w:r>
              <w:rPr>
                <w:sz w:val="19"/>
              </w:rPr>
              <w:t>Labelled "SYNTHETIC" on every page, in the README and in the report; real n = 12 data shown separately</w:t>
            </w:r>
          </w:p>
        </w:tc>
      </w:tr>
      <w:tr>
        <w:tc>
          <w:tcPr>
            <w:tcW w:type="dxa" w:w="1673"/>
            <w:shd w:val="clear" w:color="auto" w:fill="F3F6FA"/>
          </w:tcPr>
          <w:p>
            <w:pPr>
              <w:spacing w:after="20" w:line="240" w:lineRule="auto"/>
            </w:pPr>
            <w:r>
              <w:rPr>
                <w:sz w:val="19"/>
              </w:rPr>
              <w:t>Overfitting on a small dataset</w:t>
            </w:r>
          </w:p>
        </w:tc>
        <w:tc>
          <w:tcPr>
            <w:tcW w:type="dxa" w:w="1412"/>
            <w:shd w:val="clear" w:color="auto" w:fill="F3F6FA"/>
          </w:tcPr>
          <w:p>
            <w:pPr>
              <w:spacing w:after="20" w:line="240" w:lineRule="auto"/>
            </w:pPr>
            <w:r>
              <w:rPr>
                <w:sz w:val="19"/>
              </w:rPr>
              <w:t>Technical</w:t>
            </w:r>
          </w:p>
        </w:tc>
        <w:tc>
          <w:tcPr>
            <w:tcW w:type="dxa" w:w="1304"/>
            <w:shd w:val="clear" w:color="auto" w:fill="F3F6FA"/>
          </w:tcPr>
          <w:p>
            <w:pPr>
              <w:spacing w:after="20" w:line="240" w:lineRule="auto"/>
            </w:pPr>
            <w:r>
              <w:rPr>
                <w:sz w:val="19"/>
              </w:rPr>
              <w:t>Medium</w:t>
            </w:r>
          </w:p>
        </w:tc>
        <w:tc>
          <w:tcPr>
            <w:tcW w:type="dxa" w:w="873"/>
            <w:shd w:val="clear" w:color="auto" w:fill="F3F6FA"/>
          </w:tcPr>
          <w:p>
            <w:pPr>
              <w:spacing w:after="20" w:line="240" w:lineRule="auto"/>
            </w:pPr>
            <w:r>
              <w:rPr>
                <w:sz w:val="19"/>
              </w:rPr>
              <w:t>Medium</w:t>
            </w:r>
          </w:p>
        </w:tc>
        <w:tc>
          <w:tcPr>
            <w:tcW w:type="dxa" w:w="3810"/>
            <w:shd w:val="clear" w:color="auto" w:fill="F3F6FA"/>
          </w:tcPr>
          <w:p>
            <w:pPr>
              <w:spacing w:after="20" w:line="240" w:lineRule="auto"/>
            </w:pPr>
            <w:r>
              <w:rPr>
                <w:sz w:val="19"/>
              </w:rPr>
              <w:t>Stratified CV, regularised LR, depth-limited RF, majority baseline</w:t>
            </w:r>
          </w:p>
        </w:tc>
      </w:tr>
      <w:tr>
        <w:tc>
          <w:tcPr>
            <w:tcW w:type="dxa" w:w="1673"/>
          </w:tcPr>
          <w:p>
            <w:pPr>
              <w:spacing w:after="20" w:line="240" w:lineRule="auto"/>
            </w:pPr>
            <w:r>
              <w:rPr>
                <w:sz w:val="19"/>
              </w:rPr>
              <w:t>Class imbalance (25% low attention)</w:t>
            </w:r>
          </w:p>
        </w:tc>
        <w:tc>
          <w:tcPr>
            <w:tcW w:type="dxa" w:w="1412"/>
          </w:tcPr>
          <w:p>
            <w:pPr>
              <w:spacing w:after="20" w:line="240" w:lineRule="auto"/>
            </w:pPr>
            <w:r>
              <w:rPr>
                <w:sz w:val="19"/>
              </w:rPr>
              <w:t>Technical</w:t>
            </w:r>
          </w:p>
        </w:tc>
        <w:tc>
          <w:tcPr>
            <w:tcW w:type="dxa" w:w="1304"/>
          </w:tcPr>
          <w:p>
            <w:pPr>
              <w:spacing w:after="20" w:line="240" w:lineRule="auto"/>
            </w:pPr>
            <w:r>
              <w:rPr>
                <w:sz w:val="19"/>
              </w:rPr>
              <w:t>High</w:t>
            </w:r>
          </w:p>
        </w:tc>
        <w:tc>
          <w:tcPr>
            <w:tcW w:type="dxa" w:w="873"/>
          </w:tcPr>
          <w:p>
            <w:pPr>
              <w:spacing w:after="20" w:line="240" w:lineRule="auto"/>
            </w:pPr>
            <w:r>
              <w:rPr>
                <w:sz w:val="19"/>
              </w:rPr>
              <w:t>Medium</w:t>
            </w:r>
          </w:p>
        </w:tc>
        <w:tc>
          <w:tcPr>
            <w:tcW w:type="dxa" w:w="3810"/>
          </w:tcPr>
          <w:p>
            <w:pPr>
              <w:spacing w:after="20" w:line="240" w:lineRule="auto"/>
            </w:pPr>
            <w:r>
              <w:rPr>
                <w:rFonts w:ascii="Consolas" w:hAnsi="Consolas"/>
                <w:sz w:val="19"/>
              </w:rPr>
              <w:t>class_weight="balanced"</w:t>
            </w:r>
            <w:r>
              <w:rPr>
                <w:sz w:val="19"/>
              </w:rPr>
              <w:t>, F1 and recall of the at-risk class as the main metric</w:t>
            </w:r>
          </w:p>
        </w:tc>
      </w:tr>
      <w:tr>
        <w:tc>
          <w:tcPr>
            <w:tcW w:type="dxa" w:w="1673"/>
            <w:shd w:val="clear" w:color="auto" w:fill="F3F6FA"/>
          </w:tcPr>
          <w:p>
            <w:pPr>
              <w:spacing w:after="20" w:line="240" w:lineRule="auto"/>
            </w:pPr>
            <w:r>
              <w:rPr>
                <w:sz w:val="19"/>
              </w:rPr>
              <w:t>Missing questionnaire answers</w:t>
            </w:r>
          </w:p>
        </w:tc>
        <w:tc>
          <w:tcPr>
            <w:tcW w:type="dxa" w:w="1412"/>
            <w:shd w:val="clear" w:color="auto" w:fill="F3F6FA"/>
          </w:tcPr>
          <w:p>
            <w:pPr>
              <w:spacing w:after="20" w:line="240" w:lineRule="auto"/>
            </w:pPr>
            <w:r>
              <w:rPr>
                <w:sz w:val="19"/>
              </w:rPr>
              <w:t>Dataset</w:t>
            </w:r>
          </w:p>
        </w:tc>
        <w:tc>
          <w:tcPr>
            <w:tcW w:type="dxa" w:w="1304"/>
            <w:shd w:val="clear" w:color="auto" w:fill="F3F6FA"/>
          </w:tcPr>
          <w:p>
            <w:pPr>
              <w:spacing w:after="20" w:line="240" w:lineRule="auto"/>
            </w:pPr>
            <w:r>
              <w:rPr>
                <w:sz w:val="19"/>
              </w:rPr>
              <w:t>High</w:t>
            </w:r>
          </w:p>
        </w:tc>
        <w:tc>
          <w:tcPr>
            <w:tcW w:type="dxa" w:w="873"/>
            <w:shd w:val="clear" w:color="auto" w:fill="F3F6FA"/>
          </w:tcPr>
          <w:p>
            <w:pPr>
              <w:spacing w:after="20" w:line="240" w:lineRule="auto"/>
            </w:pPr>
            <w:r>
              <w:rPr>
                <w:sz w:val="19"/>
              </w:rPr>
              <w:t>Low</w:t>
            </w:r>
          </w:p>
        </w:tc>
        <w:tc>
          <w:tcPr>
            <w:tcW w:type="dxa" w:w="3810"/>
            <w:shd w:val="clear" w:color="auto" w:fill="F3F6FA"/>
          </w:tcPr>
          <w:p>
            <w:pPr>
              <w:spacing w:after="20" w:line="240" w:lineRule="auto"/>
            </w:pPr>
            <w:r>
              <w:rPr>
                <w:sz w:val="19"/>
              </w:rPr>
              <w:t>Partial composites (≥ 4/6 items), pipeline imputation</w:t>
            </w:r>
          </w:p>
        </w:tc>
      </w:tr>
      <w:tr>
        <w:tc>
          <w:tcPr>
            <w:tcW w:type="dxa" w:w="1673"/>
          </w:tcPr>
          <w:p>
            <w:pPr>
              <w:spacing w:after="20" w:line="240" w:lineRule="auto"/>
            </w:pPr>
            <w:r>
              <w:rPr>
                <w:sz w:val="19"/>
              </w:rPr>
              <w:t>Data leakage</w:t>
            </w:r>
          </w:p>
        </w:tc>
        <w:tc>
          <w:tcPr>
            <w:tcW w:type="dxa" w:w="1412"/>
          </w:tcPr>
          <w:p>
            <w:pPr>
              <w:spacing w:after="20" w:line="240" w:lineRule="auto"/>
            </w:pPr>
            <w:r>
              <w:rPr>
                <w:sz w:val="19"/>
              </w:rPr>
              <w:t>Technical</w:t>
            </w:r>
          </w:p>
        </w:tc>
        <w:tc>
          <w:tcPr>
            <w:tcW w:type="dxa" w:w="1304"/>
          </w:tcPr>
          <w:p>
            <w:pPr>
              <w:spacing w:after="20" w:line="240" w:lineRule="auto"/>
            </w:pPr>
            <w:r>
              <w:rPr>
                <w:sz w:val="19"/>
              </w:rPr>
              <w:t>Low</w:t>
            </w:r>
          </w:p>
        </w:tc>
        <w:tc>
          <w:tcPr>
            <w:tcW w:type="dxa" w:w="873"/>
          </w:tcPr>
          <w:p>
            <w:pPr>
              <w:spacing w:after="20" w:line="240" w:lineRule="auto"/>
            </w:pPr>
            <w:r>
              <w:rPr>
                <w:sz w:val="19"/>
              </w:rPr>
              <w:t>High</w:t>
            </w:r>
          </w:p>
        </w:tc>
        <w:tc>
          <w:tcPr>
            <w:tcW w:type="dxa" w:w="3810"/>
          </w:tcPr>
          <w:p>
            <w:pPr>
              <w:spacing w:after="20" w:line="240" w:lineRule="auto"/>
            </w:pPr>
            <w:r>
              <w:rPr>
                <w:sz w:val="19"/>
              </w:rPr>
              <w:t>Test scores excluded from features; preprocessing fitted inside the pipeline</w:t>
            </w:r>
          </w:p>
        </w:tc>
      </w:tr>
      <w:tr>
        <w:tc>
          <w:tcPr>
            <w:tcW w:type="dxa" w:w="1673"/>
            <w:shd w:val="clear" w:color="auto" w:fill="F3F6FA"/>
          </w:tcPr>
          <w:p>
            <w:pPr>
              <w:spacing w:after="20" w:line="240" w:lineRule="auto"/>
            </w:pPr>
            <w:r>
              <w:rPr>
                <w:sz w:val="19"/>
              </w:rPr>
              <w:t>Slow dashboard as data grows</w:t>
            </w:r>
          </w:p>
        </w:tc>
        <w:tc>
          <w:tcPr>
            <w:tcW w:type="dxa" w:w="1412"/>
            <w:shd w:val="clear" w:color="auto" w:fill="F3F6FA"/>
          </w:tcPr>
          <w:p>
            <w:pPr>
              <w:spacing w:after="20" w:line="240" w:lineRule="auto"/>
            </w:pPr>
            <w:r>
              <w:rPr>
                <w:sz w:val="19"/>
              </w:rPr>
              <w:t>Performance</w:t>
            </w:r>
          </w:p>
        </w:tc>
        <w:tc>
          <w:tcPr>
            <w:tcW w:type="dxa" w:w="1304"/>
            <w:shd w:val="clear" w:color="auto" w:fill="F3F6FA"/>
          </w:tcPr>
          <w:p>
            <w:pPr>
              <w:spacing w:after="20" w:line="240" w:lineRule="auto"/>
            </w:pPr>
            <w:r>
              <w:rPr>
                <w:sz w:val="19"/>
              </w:rPr>
              <w:t>Low</w:t>
            </w:r>
          </w:p>
        </w:tc>
        <w:tc>
          <w:tcPr>
            <w:tcW w:type="dxa" w:w="873"/>
            <w:shd w:val="clear" w:color="auto" w:fill="F3F6FA"/>
          </w:tcPr>
          <w:p>
            <w:pPr>
              <w:spacing w:after="20" w:line="240" w:lineRule="auto"/>
            </w:pPr>
            <w:r>
              <w:rPr>
                <w:sz w:val="19"/>
              </w:rPr>
              <w:t>Medium</w:t>
            </w:r>
          </w:p>
        </w:tc>
        <w:tc>
          <w:tcPr>
            <w:tcW w:type="dxa" w:w="3810"/>
            <w:shd w:val="clear" w:color="auto" w:fill="F3F6FA"/>
          </w:tcPr>
          <w:p>
            <w:pPr>
              <w:spacing w:after="20" w:line="240" w:lineRule="auto"/>
            </w:pPr>
            <w:r>
              <w:rPr>
                <w:sz w:val="19"/>
              </w:rPr>
              <w:t>Pagination, filtering in SQL, chart caching, client-side charts later</w:t>
            </w:r>
          </w:p>
        </w:tc>
      </w:tr>
      <w:tr>
        <w:tc>
          <w:tcPr>
            <w:tcW w:type="dxa" w:w="1673"/>
          </w:tcPr>
          <w:p>
            <w:pPr>
              <w:spacing w:after="20" w:line="240" w:lineRule="auto"/>
            </w:pPr>
            <w:r>
              <w:rPr>
                <w:sz w:val="19"/>
              </w:rPr>
              <w:t>Unauthorised access to student data</w:t>
            </w:r>
          </w:p>
        </w:tc>
        <w:tc>
          <w:tcPr>
            <w:tcW w:type="dxa" w:w="1412"/>
          </w:tcPr>
          <w:p>
            <w:pPr>
              <w:spacing w:after="20" w:line="240" w:lineRule="auto"/>
            </w:pPr>
            <w:r>
              <w:rPr>
                <w:sz w:val="19"/>
              </w:rPr>
              <w:t>Security</w:t>
            </w:r>
          </w:p>
        </w:tc>
        <w:tc>
          <w:tcPr>
            <w:tcW w:type="dxa" w:w="1304"/>
          </w:tcPr>
          <w:p>
            <w:pPr>
              <w:spacing w:after="20" w:line="240" w:lineRule="auto"/>
            </w:pPr>
            <w:r>
              <w:rPr>
                <w:sz w:val="19"/>
              </w:rPr>
              <w:t>Medium</w:t>
            </w:r>
          </w:p>
        </w:tc>
        <w:tc>
          <w:tcPr>
            <w:tcW w:type="dxa" w:w="873"/>
          </w:tcPr>
          <w:p>
            <w:pPr>
              <w:spacing w:after="20" w:line="240" w:lineRule="auto"/>
            </w:pPr>
            <w:r>
              <w:rPr>
                <w:sz w:val="19"/>
              </w:rPr>
              <w:t>High</w:t>
            </w:r>
          </w:p>
        </w:tc>
        <w:tc>
          <w:tcPr>
            <w:tcW w:type="dxa" w:w="3810"/>
          </w:tcPr>
          <w:p>
            <w:pPr>
              <w:spacing w:after="20" w:line="240" w:lineRule="auto"/>
            </w:pPr>
            <w:r>
              <w:rPr>
                <w:sz w:val="19"/>
              </w:rPr>
              <w:t>Pseudonymous IDs, no names; add login, RBAC, CSRF and HTTPS before real use</w:t>
            </w:r>
          </w:p>
        </w:tc>
      </w:tr>
      <w:tr>
        <w:tc>
          <w:tcPr>
            <w:tcW w:type="dxa" w:w="1673"/>
            <w:shd w:val="clear" w:color="auto" w:fill="F3F6FA"/>
          </w:tcPr>
          <w:p>
            <w:pPr>
              <w:spacing w:after="20" w:line="240" w:lineRule="auto"/>
            </w:pPr>
            <w:r>
              <w:rPr>
                <w:sz w:val="19"/>
              </w:rPr>
              <w:t>Ethical misuse of risk labels</w:t>
            </w:r>
          </w:p>
        </w:tc>
        <w:tc>
          <w:tcPr>
            <w:tcW w:type="dxa" w:w="1412"/>
            <w:shd w:val="clear" w:color="auto" w:fill="F3F6FA"/>
          </w:tcPr>
          <w:p>
            <w:pPr>
              <w:spacing w:after="20" w:line="240" w:lineRule="auto"/>
            </w:pPr>
            <w:r>
              <w:rPr>
                <w:sz w:val="19"/>
              </w:rPr>
              <w:t>Social</w:t>
            </w:r>
          </w:p>
        </w:tc>
        <w:tc>
          <w:tcPr>
            <w:tcW w:type="dxa" w:w="1304"/>
            <w:shd w:val="clear" w:color="auto" w:fill="F3F6FA"/>
          </w:tcPr>
          <w:p>
            <w:pPr>
              <w:spacing w:after="20" w:line="240" w:lineRule="auto"/>
            </w:pPr>
            <w:r>
              <w:rPr>
                <w:sz w:val="19"/>
              </w:rPr>
              <w:t>Medium</w:t>
            </w:r>
          </w:p>
        </w:tc>
        <w:tc>
          <w:tcPr>
            <w:tcW w:type="dxa" w:w="873"/>
            <w:shd w:val="clear" w:color="auto" w:fill="F3F6FA"/>
          </w:tcPr>
          <w:p>
            <w:pPr>
              <w:spacing w:after="20" w:line="240" w:lineRule="auto"/>
            </w:pPr>
            <w:r>
              <w:rPr>
                <w:sz w:val="19"/>
              </w:rPr>
              <w:t>High</w:t>
            </w:r>
          </w:p>
        </w:tc>
        <w:tc>
          <w:tcPr>
            <w:tcW w:type="dxa" w:w="3810"/>
            <w:shd w:val="clear" w:color="auto" w:fill="F3F6FA"/>
          </w:tcPr>
          <w:p>
            <w:pPr>
              <w:spacing w:after="20" w:line="240" w:lineRule="auto"/>
            </w:pPr>
            <w:r>
              <w:rPr>
                <w:sz w:val="19"/>
              </w:rPr>
              <w:t>Advisory wording ("screening aid, not a diagnosis"), recommendations instead of sanctions</w:t>
            </w:r>
          </w:p>
        </w:tc>
      </w:tr>
    </w:tbl>
    <w:p>
      <w:pPr>
        <w:spacing w:after="40"/>
      </w:pPr>
    </w:p>
    <w:p>
      <w:pPr>
        <w:pStyle w:val="Heading1"/>
      </w:pPr>
      <w:r>
        <w:t>18. Application Screenshots</w:t>
      </w:r>
    </w:p>
    <w:p>
      <w:r>
        <w:t xml:space="preserve">Figures 18.1–18.8 show the running application (source files in </w:t>
      </w:r>
      <w:r>
        <w:rPr>
          <w:rFonts w:ascii="Consolas" w:hAnsi="Consolas"/>
          <w:sz w:val="20"/>
        </w:rPr>
        <w:t>docs/screenshots/</w:t>
      </w:r>
      <w:r>
        <w:t>).</w:t>
      </w:r>
    </w:p>
    <w:tbl>
      <w:tblPr>
        <w:tblStyle w:val="TableGrid"/>
        <w:tblW w:type="auto" w:w="0"/>
        <w:jc w:val="center"/>
        <w:tblLayout w:type="fixed"/>
        <w:tblLook w:firstColumn="1" w:firstRow="1" w:lastColumn="0" w:lastRow="0" w:noHBand="0" w:noVBand="1" w:val="04A0"/>
      </w:tblPr>
      <w:tblGrid>
        <w:gridCol w:w="2018"/>
        <w:gridCol w:w="2596"/>
        <w:gridCol w:w="4456"/>
      </w:tblGrid>
      <w:tr>
        <w:trPr>
          <w:tblHeader w:val="true"/>
        </w:trPr>
        <w:tc>
          <w:tcPr>
            <w:tcW w:type="dxa" w:w="2019"/>
            <w:shd w:val="clear" w:color="auto" w:fill="1F3A5F"/>
          </w:tcPr>
          <w:p>
            <w:pPr>
              <w:spacing w:after="20" w:line="240" w:lineRule="auto"/>
            </w:pPr>
            <w:r>
              <w:rPr>
                <w:b/>
                <w:color w:val="FFFFFF"/>
                <w:sz w:val="19"/>
              </w:rPr>
              <w:t>Figure</w:t>
            </w:r>
          </w:p>
        </w:tc>
        <w:tc>
          <w:tcPr>
            <w:tcW w:type="dxa" w:w="2597"/>
            <w:shd w:val="clear" w:color="auto" w:fill="1F3A5F"/>
          </w:tcPr>
          <w:p>
            <w:pPr>
              <w:spacing w:after="20" w:line="240" w:lineRule="auto"/>
            </w:pPr>
            <w:r>
              <w:rPr>
                <w:b/>
                <w:color w:val="FFFFFF"/>
                <w:sz w:val="19"/>
              </w:rPr>
              <w:t>File</w:t>
            </w:r>
          </w:p>
        </w:tc>
        <w:tc>
          <w:tcPr>
            <w:tcW w:type="dxa" w:w="4456"/>
            <w:shd w:val="clear" w:color="auto" w:fill="1F3A5F"/>
          </w:tcPr>
          <w:p>
            <w:pPr>
              <w:spacing w:after="20" w:line="240" w:lineRule="auto"/>
            </w:pPr>
            <w:r>
              <w:rPr>
                <w:b/>
                <w:color w:val="FFFFFF"/>
                <w:sz w:val="19"/>
              </w:rPr>
              <w:t>Shows</w:t>
            </w:r>
          </w:p>
        </w:tc>
      </w:tr>
      <w:tr>
        <w:tc>
          <w:tcPr>
            <w:tcW w:type="dxa" w:w="2019"/>
          </w:tcPr>
          <w:p>
            <w:pPr>
              <w:spacing w:after="20" w:line="240" w:lineRule="auto"/>
            </w:pPr>
            <w:r>
              <w:rPr>
                <w:sz w:val="19"/>
              </w:rPr>
              <w:t>Fig. 18.1 Home page</w:t>
            </w:r>
          </w:p>
        </w:tc>
        <w:tc>
          <w:tcPr>
            <w:tcW w:type="dxa" w:w="2597"/>
          </w:tcPr>
          <w:p>
            <w:pPr>
              <w:spacing w:after="20" w:line="240" w:lineRule="auto"/>
            </w:pPr>
            <w:r>
              <w:rPr>
                <w:rFonts w:ascii="Consolas" w:hAnsi="Consolas"/>
                <w:sz w:val="19"/>
              </w:rPr>
              <w:t>home.png</w:t>
            </w:r>
          </w:p>
        </w:tc>
        <w:tc>
          <w:tcPr>
            <w:tcW w:type="dxa" w:w="4456"/>
          </w:tcPr>
          <w:p>
            <w:pPr>
              <w:spacing w:after="20" w:line="240" w:lineRule="auto"/>
            </w:pPr>
            <w:r>
              <w:rPr>
                <w:sz w:val="19"/>
              </w:rPr>
              <w:t>Project description, 8 KPIs, navigation</w:t>
            </w:r>
          </w:p>
        </w:tc>
      </w:tr>
      <w:tr>
        <w:tc>
          <w:tcPr>
            <w:tcW w:type="dxa" w:w="2019"/>
            <w:shd w:val="clear" w:color="auto" w:fill="F3F6FA"/>
          </w:tcPr>
          <w:p>
            <w:pPr>
              <w:spacing w:after="20" w:line="240" w:lineRule="auto"/>
            </w:pPr>
            <w:r>
              <w:rPr>
                <w:sz w:val="19"/>
              </w:rPr>
              <w:t>Fig. 18.2 Dashboard</w:t>
            </w:r>
          </w:p>
        </w:tc>
        <w:tc>
          <w:tcPr>
            <w:tcW w:type="dxa" w:w="2597"/>
            <w:shd w:val="clear" w:color="auto" w:fill="F3F6FA"/>
          </w:tcPr>
          <w:p>
            <w:pPr>
              <w:spacing w:after="20" w:line="240" w:lineRule="auto"/>
            </w:pPr>
            <w:r>
              <w:rPr>
                <w:rFonts w:ascii="Consolas" w:hAnsi="Consolas"/>
                <w:sz w:val="19"/>
              </w:rPr>
              <w:t>dashboard.png</w:t>
            </w:r>
          </w:p>
        </w:tc>
        <w:tc>
          <w:tcPr>
            <w:tcW w:type="dxa" w:w="4456"/>
            <w:shd w:val="clear" w:color="auto" w:fill="F3F6FA"/>
          </w:tcPr>
          <w:p>
            <w:pPr>
              <w:spacing w:after="20" w:line="240" w:lineRule="auto"/>
            </w:pPr>
            <w:r>
              <w:rPr>
                <w:sz w:val="19"/>
              </w:rPr>
              <w:t>AI-use charts, offloading profile, scatter plots, correlation and t-test tables, heatmap</w:t>
            </w:r>
          </w:p>
        </w:tc>
      </w:tr>
      <w:tr>
        <w:tc>
          <w:tcPr>
            <w:tcW w:type="dxa" w:w="2019"/>
          </w:tcPr>
          <w:p>
            <w:pPr>
              <w:spacing w:after="20" w:line="240" w:lineRule="auto"/>
            </w:pPr>
            <w:r>
              <w:rPr>
                <w:sz w:val="19"/>
              </w:rPr>
              <w:t>Fig. 18.3 Dashboard (filtered)</w:t>
            </w:r>
          </w:p>
        </w:tc>
        <w:tc>
          <w:tcPr>
            <w:tcW w:type="dxa" w:w="2597"/>
          </w:tcPr>
          <w:p>
            <w:pPr>
              <w:spacing w:after="20" w:line="240" w:lineRule="auto"/>
            </w:pPr>
            <w:r>
              <w:rPr>
                <w:rFonts w:ascii="Consolas" w:hAnsi="Consolas"/>
                <w:sz w:val="19"/>
              </w:rPr>
              <w:t>dashboard_filtered.png</w:t>
            </w:r>
          </w:p>
        </w:tc>
        <w:tc>
          <w:tcPr>
            <w:tcW w:type="dxa" w:w="4456"/>
          </w:tcPr>
          <w:p>
            <w:pPr>
              <w:spacing w:after="20" w:line="240" w:lineRule="auto"/>
            </w:pPr>
            <w:r>
              <w:rPr>
                <w:sz w:val="19"/>
              </w:rPr>
              <w:t>Grade 9 × Higher AI use filter</w:t>
            </w:r>
          </w:p>
        </w:tc>
      </w:tr>
      <w:tr>
        <w:tc>
          <w:tcPr>
            <w:tcW w:type="dxa" w:w="2019"/>
            <w:shd w:val="clear" w:color="auto" w:fill="F3F6FA"/>
          </w:tcPr>
          <w:p>
            <w:pPr>
              <w:spacing w:after="20" w:line="240" w:lineRule="auto"/>
            </w:pPr>
            <w:r>
              <w:rPr>
                <w:sz w:val="19"/>
              </w:rPr>
              <w:t>Fig. 18.4 Data processing</w:t>
            </w:r>
          </w:p>
        </w:tc>
        <w:tc>
          <w:tcPr>
            <w:tcW w:type="dxa" w:w="2597"/>
            <w:shd w:val="clear" w:color="auto" w:fill="F3F6FA"/>
          </w:tcPr>
          <w:p>
            <w:pPr>
              <w:spacing w:after="20" w:line="240" w:lineRule="auto"/>
            </w:pPr>
            <w:r>
              <w:rPr>
                <w:rFonts w:ascii="Consolas" w:hAnsi="Consolas"/>
                <w:sz w:val="19"/>
              </w:rPr>
              <w:t>data.png</w:t>
            </w:r>
          </w:p>
        </w:tc>
        <w:tc>
          <w:tcPr>
            <w:tcW w:type="dxa" w:w="4456"/>
            <w:shd w:val="clear" w:color="auto" w:fill="F3F6FA"/>
          </w:tcPr>
          <w:p>
            <w:pPr>
              <w:spacing w:after="20" w:line="240" w:lineRule="auto"/>
            </w:pPr>
            <w:r>
              <w:rPr>
                <w:sz w:val="19"/>
              </w:rPr>
              <w:t>Pipeline steps, missing-values report, descriptive stats, thesis reference</w:t>
            </w:r>
          </w:p>
        </w:tc>
      </w:tr>
      <w:tr>
        <w:tc>
          <w:tcPr>
            <w:tcW w:type="dxa" w:w="2019"/>
          </w:tcPr>
          <w:p>
            <w:pPr>
              <w:spacing w:after="20" w:line="240" w:lineRule="auto"/>
            </w:pPr>
            <w:r>
              <w:rPr>
                <w:sz w:val="19"/>
              </w:rPr>
              <w:t>Fig. 18.5 Prediction page</w:t>
            </w:r>
          </w:p>
        </w:tc>
        <w:tc>
          <w:tcPr>
            <w:tcW w:type="dxa" w:w="2597"/>
          </w:tcPr>
          <w:p>
            <w:pPr>
              <w:spacing w:after="20" w:line="240" w:lineRule="auto"/>
            </w:pPr>
            <w:r>
              <w:rPr>
                <w:rFonts w:ascii="Consolas" w:hAnsi="Consolas"/>
                <w:sz w:val="19"/>
              </w:rPr>
              <w:t>predict.png</w:t>
            </w:r>
            <w:r>
              <w:rPr>
                <w:sz w:val="19"/>
              </w:rPr>
              <w:t xml:space="preserve">, </w:t>
            </w:r>
            <w:r>
              <w:rPr>
                <w:rFonts w:ascii="Consolas" w:hAnsi="Consolas"/>
                <w:sz w:val="19"/>
              </w:rPr>
              <w:t>predict_result.png</w:t>
            </w:r>
          </w:p>
        </w:tc>
        <w:tc>
          <w:tcPr>
            <w:tcW w:type="dxa" w:w="4456"/>
          </w:tcPr>
          <w:p>
            <w:pPr>
              <w:spacing w:after="20" w:line="240" w:lineRule="auto"/>
            </w:pPr>
            <w:r>
              <w:rPr>
                <w:sz w:val="19"/>
              </w:rPr>
              <w:t>Questionnaire form → risk probabilities + recommendations</w:t>
            </w:r>
          </w:p>
        </w:tc>
      </w:tr>
      <w:tr>
        <w:tc>
          <w:tcPr>
            <w:tcW w:type="dxa" w:w="2019"/>
            <w:shd w:val="clear" w:color="auto" w:fill="F3F6FA"/>
          </w:tcPr>
          <w:p>
            <w:pPr>
              <w:spacing w:after="20" w:line="240" w:lineRule="auto"/>
            </w:pPr>
            <w:r>
              <w:rPr>
                <w:sz w:val="19"/>
              </w:rPr>
              <w:t>Fig. 18.6 Model evaluation</w:t>
            </w:r>
          </w:p>
        </w:tc>
        <w:tc>
          <w:tcPr>
            <w:tcW w:type="dxa" w:w="2597"/>
            <w:shd w:val="clear" w:color="auto" w:fill="F3F6FA"/>
          </w:tcPr>
          <w:p>
            <w:pPr>
              <w:spacing w:after="20" w:line="240" w:lineRule="auto"/>
            </w:pPr>
            <w:r>
              <w:rPr>
                <w:rFonts w:ascii="Consolas" w:hAnsi="Consolas"/>
                <w:sz w:val="19"/>
              </w:rPr>
              <w:t>model.png</w:t>
            </w:r>
          </w:p>
        </w:tc>
        <w:tc>
          <w:tcPr>
            <w:tcW w:type="dxa" w:w="4456"/>
            <w:shd w:val="clear" w:color="auto" w:fill="F3F6FA"/>
          </w:tcPr>
          <w:p>
            <w:pPr>
              <w:spacing w:after="20" w:line="240" w:lineRule="auto"/>
            </w:pPr>
            <w:r>
              <w:rPr>
                <w:sz w:val="19"/>
              </w:rPr>
              <w:t>Metric tables, confusion matrices, coefficients, importances</w:t>
            </w:r>
          </w:p>
        </w:tc>
      </w:tr>
      <w:tr>
        <w:tc>
          <w:tcPr>
            <w:tcW w:type="dxa" w:w="2019"/>
          </w:tcPr>
          <w:p>
            <w:pPr>
              <w:spacing w:after="20" w:line="240" w:lineRule="auto"/>
            </w:pPr>
            <w:r>
              <w:rPr>
                <w:sz w:val="19"/>
              </w:rPr>
              <w:t>Fig. 18.7 CRUD – list</w:t>
            </w:r>
          </w:p>
        </w:tc>
        <w:tc>
          <w:tcPr>
            <w:tcW w:type="dxa" w:w="2597"/>
          </w:tcPr>
          <w:p>
            <w:pPr>
              <w:spacing w:after="20" w:line="240" w:lineRule="auto"/>
            </w:pPr>
            <w:r>
              <w:rPr>
                <w:rFonts w:ascii="Consolas" w:hAnsi="Consolas"/>
                <w:sz w:val="19"/>
              </w:rPr>
              <w:t>records.png</w:t>
            </w:r>
          </w:p>
        </w:tc>
        <w:tc>
          <w:tcPr>
            <w:tcW w:type="dxa" w:w="4456"/>
          </w:tcPr>
          <w:p>
            <w:pPr>
              <w:spacing w:after="20" w:line="240" w:lineRule="auto"/>
            </w:pPr>
            <w:r>
              <w:rPr>
                <w:sz w:val="19"/>
              </w:rPr>
              <w:t>Search, filters, risk badges, pagination</w:t>
            </w:r>
          </w:p>
        </w:tc>
      </w:tr>
      <w:tr>
        <w:tc>
          <w:tcPr>
            <w:tcW w:type="dxa" w:w="2019"/>
            <w:shd w:val="clear" w:color="auto" w:fill="F3F6FA"/>
          </w:tcPr>
          <w:p>
            <w:pPr>
              <w:spacing w:after="20" w:line="240" w:lineRule="auto"/>
            </w:pPr>
            <w:r>
              <w:rPr>
                <w:sz w:val="19"/>
              </w:rPr>
              <w:t>Fig. 18.8 CRUD – create / update / read</w:t>
            </w:r>
          </w:p>
        </w:tc>
        <w:tc>
          <w:tcPr>
            <w:tcW w:type="dxa" w:w="2597"/>
            <w:shd w:val="clear" w:color="auto" w:fill="F3F6FA"/>
          </w:tcPr>
          <w:p>
            <w:pPr>
              <w:spacing w:after="20" w:line="240" w:lineRule="auto"/>
            </w:pPr>
            <w:r>
              <w:rPr>
                <w:rFonts w:ascii="Consolas" w:hAnsi="Consolas"/>
                <w:sz w:val="19"/>
              </w:rPr>
              <w:t>record_new.png</w:t>
            </w:r>
            <w:r>
              <w:rPr>
                <w:sz w:val="19"/>
              </w:rPr>
              <w:t xml:space="preserve">, </w:t>
            </w:r>
            <w:r>
              <w:rPr>
                <w:rFonts w:ascii="Consolas" w:hAnsi="Consolas"/>
                <w:sz w:val="19"/>
              </w:rPr>
              <w:t>record_edit.png</w:t>
            </w:r>
            <w:r>
              <w:rPr>
                <w:sz w:val="19"/>
              </w:rPr>
              <w:t xml:space="preserve">, </w:t>
            </w:r>
            <w:r>
              <w:rPr>
                <w:rFonts w:ascii="Consolas" w:hAnsi="Consolas"/>
                <w:sz w:val="19"/>
              </w:rPr>
              <w:t>record_view.png</w:t>
            </w:r>
          </w:p>
        </w:tc>
        <w:tc>
          <w:tcPr>
            <w:tcW w:type="dxa" w:w="4456"/>
            <w:shd w:val="clear" w:color="auto" w:fill="F3F6FA"/>
          </w:tcPr>
          <w:p>
            <w:pPr>
              <w:spacing w:after="20" w:line="240" w:lineRule="auto"/>
            </w:pPr>
            <w:r>
              <w:rPr>
                <w:sz w:val="19"/>
              </w:rPr>
              <w:t>Validated forms; detail view with model risk; delete button</w:t>
            </w:r>
          </w:p>
        </w:tc>
      </w:tr>
    </w:tbl>
    <w:p>
      <w:pPr>
        <w:spacing w:after="40"/>
      </w:pPr>
    </w:p>
    <w:p>
      <w:pPr>
        <w:keepNext/>
        <w:jc w:val="center"/>
      </w:pPr>
      <w:r>
        <w:drawing>
          <wp:inline xmlns:a="http://schemas.openxmlformats.org/drawingml/2006/main" xmlns:pic="http://schemas.openxmlformats.org/drawingml/2006/picture">
            <wp:extent cx="5400000" cy="5815385"/>
            <wp:docPr id="7" name="Picture 7"/>
            <wp:cNvGraphicFramePr>
              <a:graphicFrameLocks noChangeAspect="1"/>
            </wp:cNvGraphicFramePr>
            <a:graphic>
              <a:graphicData uri="http://schemas.openxmlformats.org/drawingml/2006/picture">
                <pic:pic>
                  <pic:nvPicPr>
                    <pic:cNvPr id="0" name="home.png"/>
                    <pic:cNvPicPr/>
                  </pic:nvPicPr>
                  <pic:blipFill>
                    <a:blip r:embed="rId16"/>
                    <a:stretch>
                      <a:fillRect/>
                    </a:stretch>
                  </pic:blipFill>
                  <pic:spPr>
                    <a:xfrm>
                      <a:off x="0" y="0"/>
                      <a:ext cx="5400000" cy="5815385"/>
                    </a:xfrm>
                    <a:prstGeom prst="rect"/>
                  </pic:spPr>
                </pic:pic>
              </a:graphicData>
            </a:graphic>
          </wp:inline>
        </w:drawing>
      </w:r>
    </w:p>
    <w:p>
      <w:pPr>
        <w:pStyle w:val="Caption"/>
        <w:jc w:val="center"/>
      </w:pPr>
      <w:r>
        <w:t>Fig. 18.1 Home page – project description, 8 KPIs, navigation</w:t>
      </w:r>
    </w:p>
    <w:p>
      <w:pPr>
        <w:keepNext/>
        <w:jc w:val="center"/>
      </w:pPr>
      <w:r>
        <w:drawing>
          <wp:inline xmlns:a="http://schemas.openxmlformats.org/drawingml/2006/main" xmlns:pic="http://schemas.openxmlformats.org/drawingml/2006/picture">
            <wp:extent cx="4747826" cy="7560000"/>
            <wp:docPr id="8" name="Picture 8"/>
            <wp:cNvGraphicFramePr>
              <a:graphicFrameLocks noChangeAspect="1"/>
            </wp:cNvGraphicFramePr>
            <a:graphic>
              <a:graphicData uri="http://schemas.openxmlformats.org/drawingml/2006/picture">
                <pic:pic>
                  <pic:nvPicPr>
                    <pic:cNvPr id="0" name="dashboard_part1.png"/>
                    <pic:cNvPicPr/>
                  </pic:nvPicPr>
                  <pic:blipFill>
                    <a:blip r:embed="rId17"/>
                    <a:stretch>
                      <a:fillRect/>
                    </a:stretch>
                  </pic:blipFill>
                  <pic:spPr>
                    <a:xfrm>
                      <a:off x="0" y="0"/>
                      <a:ext cx="4747826" cy="7560000"/>
                    </a:xfrm>
                    <a:prstGeom prst="rect"/>
                  </pic:spPr>
                </pic:pic>
              </a:graphicData>
            </a:graphic>
          </wp:inline>
        </w:drawing>
      </w:r>
    </w:p>
    <w:p>
      <w:pPr>
        <w:pStyle w:val="Caption"/>
        <w:jc w:val="center"/>
      </w:pPr>
      <w:r>
        <w:t>Fig. 18.2 Dashboard – AI-use charts, offloading profile, scatter plots, correlation and t-test tables, heatmap (1/3)</w:t>
      </w:r>
    </w:p>
    <w:p>
      <w:pPr>
        <w:keepNext/>
        <w:jc w:val="center"/>
      </w:pPr>
      <w:r>
        <w:drawing>
          <wp:inline xmlns:a="http://schemas.openxmlformats.org/drawingml/2006/main" xmlns:pic="http://schemas.openxmlformats.org/drawingml/2006/picture">
            <wp:extent cx="4747826" cy="7560000"/>
            <wp:docPr id="9" name="Picture 9"/>
            <wp:cNvGraphicFramePr>
              <a:graphicFrameLocks noChangeAspect="1"/>
            </wp:cNvGraphicFramePr>
            <a:graphic>
              <a:graphicData uri="http://schemas.openxmlformats.org/drawingml/2006/picture">
                <pic:pic>
                  <pic:nvPicPr>
                    <pic:cNvPr id="0" name="dashboard_part2.png"/>
                    <pic:cNvPicPr/>
                  </pic:nvPicPr>
                  <pic:blipFill>
                    <a:blip r:embed="rId18"/>
                    <a:stretch>
                      <a:fillRect/>
                    </a:stretch>
                  </pic:blipFill>
                  <pic:spPr>
                    <a:xfrm>
                      <a:off x="0" y="0"/>
                      <a:ext cx="4747826" cy="7560000"/>
                    </a:xfrm>
                    <a:prstGeom prst="rect"/>
                  </pic:spPr>
                </pic:pic>
              </a:graphicData>
            </a:graphic>
          </wp:inline>
        </w:drawing>
      </w:r>
    </w:p>
    <w:p>
      <w:pPr>
        <w:pStyle w:val="Caption"/>
        <w:jc w:val="center"/>
      </w:pPr>
      <w:r>
        <w:t>Fig. 18.2 Dashboard – AI-use charts, offloading profile, scatter plots, correlation and t-test tables, heatmap (2/3)</w:t>
      </w:r>
    </w:p>
    <w:p>
      <w:pPr>
        <w:keepNext/>
        <w:jc w:val="center"/>
      </w:pPr>
      <w:r>
        <w:drawing>
          <wp:inline xmlns:a="http://schemas.openxmlformats.org/drawingml/2006/main" xmlns:pic="http://schemas.openxmlformats.org/drawingml/2006/picture">
            <wp:extent cx="4770873" cy="7559999"/>
            <wp:docPr id="10" name="Picture 10"/>
            <wp:cNvGraphicFramePr>
              <a:graphicFrameLocks noChangeAspect="1"/>
            </wp:cNvGraphicFramePr>
            <a:graphic>
              <a:graphicData uri="http://schemas.openxmlformats.org/drawingml/2006/picture">
                <pic:pic>
                  <pic:nvPicPr>
                    <pic:cNvPr id="0" name="dashboard_part3.png"/>
                    <pic:cNvPicPr/>
                  </pic:nvPicPr>
                  <pic:blipFill>
                    <a:blip r:embed="rId19"/>
                    <a:stretch>
                      <a:fillRect/>
                    </a:stretch>
                  </pic:blipFill>
                  <pic:spPr>
                    <a:xfrm>
                      <a:off x="0" y="0"/>
                      <a:ext cx="4770873" cy="7559999"/>
                    </a:xfrm>
                    <a:prstGeom prst="rect"/>
                  </pic:spPr>
                </pic:pic>
              </a:graphicData>
            </a:graphic>
          </wp:inline>
        </w:drawing>
      </w:r>
    </w:p>
    <w:p>
      <w:pPr>
        <w:pStyle w:val="Caption"/>
        <w:jc w:val="center"/>
      </w:pPr>
      <w:r>
        <w:t>Fig. 18.2 Dashboard – AI-use charts, offloading profile, scatter plots, correlation and t-test tables, heatmap (3/3)</w:t>
      </w:r>
    </w:p>
    <w:p>
      <w:pPr>
        <w:keepNext/>
        <w:jc w:val="center"/>
      </w:pPr>
      <w:r>
        <w:drawing>
          <wp:inline xmlns:a="http://schemas.openxmlformats.org/drawingml/2006/main" xmlns:pic="http://schemas.openxmlformats.org/drawingml/2006/picture">
            <wp:extent cx="5400000" cy="5815385"/>
            <wp:docPr id="11" name="Picture 11"/>
            <wp:cNvGraphicFramePr>
              <a:graphicFrameLocks noChangeAspect="1"/>
            </wp:cNvGraphicFramePr>
            <a:graphic>
              <a:graphicData uri="http://schemas.openxmlformats.org/drawingml/2006/picture">
                <pic:pic>
                  <pic:nvPicPr>
                    <pic:cNvPr id="0" name="dashboard_filtered.png"/>
                    <pic:cNvPicPr/>
                  </pic:nvPicPr>
                  <pic:blipFill>
                    <a:blip r:embed="rId20"/>
                    <a:stretch>
                      <a:fillRect/>
                    </a:stretch>
                  </pic:blipFill>
                  <pic:spPr>
                    <a:xfrm>
                      <a:off x="0" y="0"/>
                      <a:ext cx="5400000" cy="5815385"/>
                    </a:xfrm>
                    <a:prstGeom prst="rect"/>
                  </pic:spPr>
                </pic:pic>
              </a:graphicData>
            </a:graphic>
          </wp:inline>
        </w:drawing>
      </w:r>
    </w:p>
    <w:p>
      <w:pPr>
        <w:pStyle w:val="Caption"/>
        <w:jc w:val="center"/>
      </w:pPr>
      <w:r>
        <w:t>Fig. 18.3 Dashboard filtered by Grade 9 × Higher AI use</w:t>
      </w:r>
    </w:p>
    <w:p>
      <w:pPr>
        <w:keepNext/>
        <w:jc w:val="center"/>
      </w:pPr>
      <w:r>
        <w:drawing>
          <wp:inline xmlns:a="http://schemas.openxmlformats.org/drawingml/2006/main" xmlns:pic="http://schemas.openxmlformats.org/drawingml/2006/picture">
            <wp:extent cx="4467272" cy="7559999"/>
            <wp:docPr id="12" name="Picture 12"/>
            <wp:cNvGraphicFramePr>
              <a:graphicFrameLocks noChangeAspect="1"/>
            </wp:cNvGraphicFramePr>
            <a:graphic>
              <a:graphicData uri="http://schemas.openxmlformats.org/drawingml/2006/picture">
                <pic:pic>
                  <pic:nvPicPr>
                    <pic:cNvPr id="0" name="data.png"/>
                    <pic:cNvPicPr/>
                  </pic:nvPicPr>
                  <pic:blipFill>
                    <a:blip r:embed="rId21"/>
                    <a:stretch>
                      <a:fillRect/>
                    </a:stretch>
                  </pic:blipFill>
                  <pic:spPr>
                    <a:xfrm>
                      <a:off x="0" y="0"/>
                      <a:ext cx="4467272" cy="7559999"/>
                    </a:xfrm>
                    <a:prstGeom prst="rect"/>
                  </pic:spPr>
                </pic:pic>
              </a:graphicData>
            </a:graphic>
          </wp:inline>
        </w:drawing>
      </w:r>
    </w:p>
    <w:p>
      <w:pPr>
        <w:pStyle w:val="Caption"/>
        <w:jc w:val="center"/>
      </w:pPr>
      <w:r>
        <w:t>Fig. 18.4 Data &amp; Pipeline – pipeline steps, missing-values report, descriptive statistics, thesis reference</w:t>
      </w:r>
    </w:p>
    <w:p>
      <w:pPr>
        <w:keepNext/>
        <w:jc w:val="center"/>
      </w:pPr>
      <w:r>
        <w:drawing>
          <wp:inline xmlns:a="http://schemas.openxmlformats.org/drawingml/2006/main" xmlns:pic="http://schemas.openxmlformats.org/drawingml/2006/picture">
            <wp:extent cx="5400000" cy="5815385"/>
            <wp:docPr id="13" name="Picture 13"/>
            <wp:cNvGraphicFramePr>
              <a:graphicFrameLocks noChangeAspect="1"/>
            </wp:cNvGraphicFramePr>
            <a:graphic>
              <a:graphicData uri="http://schemas.openxmlformats.org/drawingml/2006/picture">
                <pic:pic>
                  <pic:nvPicPr>
                    <pic:cNvPr id="0" name="predict.png"/>
                    <pic:cNvPicPr/>
                  </pic:nvPicPr>
                  <pic:blipFill>
                    <a:blip r:embed="rId22"/>
                    <a:stretch>
                      <a:fillRect/>
                    </a:stretch>
                  </pic:blipFill>
                  <pic:spPr>
                    <a:xfrm>
                      <a:off x="0" y="0"/>
                      <a:ext cx="5400000" cy="5815385"/>
                    </a:xfrm>
                    <a:prstGeom prst="rect"/>
                  </pic:spPr>
                </pic:pic>
              </a:graphicData>
            </a:graphic>
          </wp:inline>
        </w:drawing>
      </w:r>
    </w:p>
    <w:p>
      <w:pPr>
        <w:pStyle w:val="Caption"/>
        <w:jc w:val="center"/>
      </w:pPr>
      <w:r>
        <w:t>Fig. 18.5 Risk Prediction – questionnaire form and resulting probabilities with recommendations (1/2)</w:t>
      </w:r>
    </w:p>
    <w:p>
      <w:pPr>
        <w:keepNext/>
        <w:jc w:val="center"/>
      </w:pPr>
      <w:r>
        <w:drawing>
          <wp:inline xmlns:a="http://schemas.openxmlformats.org/drawingml/2006/main" xmlns:pic="http://schemas.openxmlformats.org/drawingml/2006/picture">
            <wp:extent cx="5400000" cy="5815385"/>
            <wp:docPr id="14" name="Picture 14"/>
            <wp:cNvGraphicFramePr>
              <a:graphicFrameLocks noChangeAspect="1"/>
            </wp:cNvGraphicFramePr>
            <a:graphic>
              <a:graphicData uri="http://schemas.openxmlformats.org/drawingml/2006/picture">
                <pic:pic>
                  <pic:nvPicPr>
                    <pic:cNvPr id="0" name="predict_result.png"/>
                    <pic:cNvPicPr/>
                  </pic:nvPicPr>
                  <pic:blipFill>
                    <a:blip r:embed="rId23"/>
                    <a:stretch>
                      <a:fillRect/>
                    </a:stretch>
                  </pic:blipFill>
                  <pic:spPr>
                    <a:xfrm>
                      <a:off x="0" y="0"/>
                      <a:ext cx="5400000" cy="5815385"/>
                    </a:xfrm>
                    <a:prstGeom prst="rect"/>
                  </pic:spPr>
                </pic:pic>
              </a:graphicData>
            </a:graphic>
          </wp:inline>
        </w:drawing>
      </w:r>
    </w:p>
    <w:p>
      <w:pPr>
        <w:pStyle w:val="Caption"/>
        <w:jc w:val="center"/>
      </w:pPr>
      <w:r>
        <w:t>Fig. 18.5 Risk Prediction – questionnaire form and resulting probabilities with recommendations (2/2)</w:t>
      </w:r>
    </w:p>
    <w:p>
      <w:pPr>
        <w:keepNext/>
        <w:jc w:val="center"/>
      </w:pPr>
      <w:r>
        <w:drawing>
          <wp:inline xmlns:a="http://schemas.openxmlformats.org/drawingml/2006/main" xmlns:pic="http://schemas.openxmlformats.org/drawingml/2006/picture">
            <wp:extent cx="4914000" cy="7560000"/>
            <wp:docPr id="15" name="Picture 15"/>
            <wp:cNvGraphicFramePr>
              <a:graphicFrameLocks noChangeAspect="1"/>
            </wp:cNvGraphicFramePr>
            <a:graphic>
              <a:graphicData uri="http://schemas.openxmlformats.org/drawingml/2006/picture">
                <pic:pic>
                  <pic:nvPicPr>
                    <pic:cNvPr id="0" name="model.png"/>
                    <pic:cNvPicPr/>
                  </pic:nvPicPr>
                  <pic:blipFill>
                    <a:blip r:embed="rId24"/>
                    <a:stretch>
                      <a:fillRect/>
                    </a:stretch>
                  </pic:blipFill>
                  <pic:spPr>
                    <a:xfrm>
                      <a:off x="0" y="0"/>
                      <a:ext cx="4914000" cy="7560000"/>
                    </a:xfrm>
                    <a:prstGeom prst="rect"/>
                  </pic:spPr>
                </pic:pic>
              </a:graphicData>
            </a:graphic>
          </wp:inline>
        </w:drawing>
      </w:r>
    </w:p>
    <w:p>
      <w:pPr>
        <w:pStyle w:val="Caption"/>
        <w:jc w:val="center"/>
      </w:pPr>
      <w:r>
        <w:t>Fig. 18.6 Model Evaluation – metric tables, confusion matrices, coefficients, importances</w:t>
      </w:r>
    </w:p>
    <w:p>
      <w:pPr>
        <w:keepNext/>
        <w:jc w:val="center"/>
      </w:pPr>
      <w:r>
        <w:drawing>
          <wp:inline xmlns:a="http://schemas.openxmlformats.org/drawingml/2006/main" xmlns:pic="http://schemas.openxmlformats.org/drawingml/2006/picture">
            <wp:extent cx="5400000" cy="5815385"/>
            <wp:docPr id="16" name="Picture 16"/>
            <wp:cNvGraphicFramePr>
              <a:graphicFrameLocks noChangeAspect="1"/>
            </wp:cNvGraphicFramePr>
            <a:graphic>
              <a:graphicData uri="http://schemas.openxmlformats.org/drawingml/2006/picture">
                <pic:pic>
                  <pic:nvPicPr>
                    <pic:cNvPr id="0" name="records.png"/>
                    <pic:cNvPicPr/>
                  </pic:nvPicPr>
                  <pic:blipFill>
                    <a:blip r:embed="rId25"/>
                    <a:stretch>
                      <a:fillRect/>
                    </a:stretch>
                  </pic:blipFill>
                  <pic:spPr>
                    <a:xfrm>
                      <a:off x="0" y="0"/>
                      <a:ext cx="5400000" cy="5815385"/>
                    </a:xfrm>
                    <a:prstGeom prst="rect"/>
                  </pic:spPr>
                </pic:pic>
              </a:graphicData>
            </a:graphic>
          </wp:inline>
        </w:drawing>
      </w:r>
    </w:p>
    <w:p>
      <w:pPr>
        <w:pStyle w:val="Caption"/>
        <w:jc w:val="center"/>
      </w:pPr>
      <w:r>
        <w:t>Fig. 18.7 Records (CRUD) list – search, filters, risk badges, pagination</w:t>
      </w:r>
    </w:p>
    <w:p>
      <w:pPr>
        <w:keepNext/>
        <w:jc w:val="center"/>
      </w:pPr>
      <w:r>
        <w:drawing>
          <wp:inline xmlns:a="http://schemas.openxmlformats.org/drawingml/2006/main" xmlns:pic="http://schemas.openxmlformats.org/drawingml/2006/picture">
            <wp:extent cx="5400000" cy="5815385"/>
            <wp:docPr id="17" name="Picture 17"/>
            <wp:cNvGraphicFramePr>
              <a:graphicFrameLocks noChangeAspect="1"/>
            </wp:cNvGraphicFramePr>
            <a:graphic>
              <a:graphicData uri="http://schemas.openxmlformats.org/drawingml/2006/picture">
                <pic:pic>
                  <pic:nvPicPr>
                    <pic:cNvPr id="0" name="record_new.png"/>
                    <pic:cNvPicPr/>
                  </pic:nvPicPr>
                  <pic:blipFill>
                    <a:blip r:embed="rId26"/>
                    <a:stretch>
                      <a:fillRect/>
                    </a:stretch>
                  </pic:blipFill>
                  <pic:spPr>
                    <a:xfrm>
                      <a:off x="0" y="0"/>
                      <a:ext cx="5400000" cy="5815385"/>
                    </a:xfrm>
                    <a:prstGeom prst="rect"/>
                  </pic:spPr>
                </pic:pic>
              </a:graphicData>
            </a:graphic>
          </wp:inline>
        </w:drawing>
      </w:r>
    </w:p>
    <w:p>
      <w:pPr>
        <w:pStyle w:val="Caption"/>
        <w:jc w:val="center"/>
      </w:pPr>
      <w:r>
        <w:t>Fig. 18.8 CRUD – create, update and read views (1/3)</w:t>
      </w:r>
    </w:p>
    <w:p>
      <w:pPr>
        <w:keepNext/>
        <w:jc w:val="center"/>
      </w:pPr>
      <w:r>
        <w:drawing>
          <wp:inline xmlns:a="http://schemas.openxmlformats.org/drawingml/2006/main" xmlns:pic="http://schemas.openxmlformats.org/drawingml/2006/picture">
            <wp:extent cx="5400000" cy="5815385"/>
            <wp:docPr id="18" name="Picture 18"/>
            <wp:cNvGraphicFramePr>
              <a:graphicFrameLocks noChangeAspect="1"/>
            </wp:cNvGraphicFramePr>
            <a:graphic>
              <a:graphicData uri="http://schemas.openxmlformats.org/drawingml/2006/picture">
                <pic:pic>
                  <pic:nvPicPr>
                    <pic:cNvPr id="0" name="record_edit.png"/>
                    <pic:cNvPicPr/>
                  </pic:nvPicPr>
                  <pic:blipFill>
                    <a:blip r:embed="rId27"/>
                    <a:stretch>
                      <a:fillRect/>
                    </a:stretch>
                  </pic:blipFill>
                  <pic:spPr>
                    <a:xfrm>
                      <a:off x="0" y="0"/>
                      <a:ext cx="5400000" cy="5815385"/>
                    </a:xfrm>
                    <a:prstGeom prst="rect"/>
                  </pic:spPr>
                </pic:pic>
              </a:graphicData>
            </a:graphic>
          </wp:inline>
        </w:drawing>
      </w:r>
    </w:p>
    <w:p>
      <w:pPr>
        <w:pStyle w:val="Caption"/>
        <w:jc w:val="center"/>
      </w:pPr>
      <w:r>
        <w:t>Fig. 18.8 CRUD – create, update and read views (2/3)</w:t>
      </w:r>
    </w:p>
    <w:p>
      <w:pPr>
        <w:keepNext/>
        <w:jc w:val="center"/>
      </w:pPr>
      <w:r>
        <w:drawing>
          <wp:inline xmlns:a="http://schemas.openxmlformats.org/drawingml/2006/main" xmlns:pic="http://schemas.openxmlformats.org/drawingml/2006/picture">
            <wp:extent cx="5400000" cy="5815385"/>
            <wp:docPr id="19" name="Picture 19"/>
            <wp:cNvGraphicFramePr>
              <a:graphicFrameLocks noChangeAspect="1"/>
            </wp:cNvGraphicFramePr>
            <a:graphic>
              <a:graphicData uri="http://schemas.openxmlformats.org/drawingml/2006/picture">
                <pic:pic>
                  <pic:nvPicPr>
                    <pic:cNvPr id="0" name="record_view.png"/>
                    <pic:cNvPicPr/>
                  </pic:nvPicPr>
                  <pic:blipFill>
                    <a:blip r:embed="rId28"/>
                    <a:stretch>
                      <a:fillRect/>
                    </a:stretch>
                  </pic:blipFill>
                  <pic:spPr>
                    <a:xfrm>
                      <a:off x="0" y="0"/>
                      <a:ext cx="5400000" cy="5815385"/>
                    </a:xfrm>
                    <a:prstGeom prst="rect"/>
                  </pic:spPr>
                </pic:pic>
              </a:graphicData>
            </a:graphic>
          </wp:inline>
        </w:drawing>
      </w:r>
    </w:p>
    <w:p>
      <w:pPr>
        <w:pStyle w:val="Caption"/>
        <w:jc w:val="center"/>
      </w:pPr>
      <w:r>
        <w:t>Fig. 18.8 CRUD – create, update and read views (3/3)</w:t>
      </w:r>
    </w:p>
    <w:p>
      <w:pPr>
        <w:pStyle w:val="Heading1"/>
      </w:pPr>
      <w:r>
        <w:t>19. Data Visualization &amp; Analysis</w:t>
      </w:r>
    </w:p>
    <w:p>
      <w:r>
        <w:rPr>
          <w:b/>
        </w:rPr>
        <w:t>Graphs and charts in the app:</w:t>
      </w:r>
      <w:r>
        <w:t xml:space="preserve"> Likert distributions (Q4, Q7, Q8, Q9, Q10, Q11), tool and purpose bars, offloading histogram by group, offloading-vs-attention and offloading-vs-CT scatter plots with OLS lines, Luria learning curves (simulated groups vs thesis n = 12), group bar chart, 13 × 13 correlation heatmap, confusion matrices and feature-importance charts.</w:t>
      </w:r>
    </w:p>
    <w:p>
      <w:r>
        <w:rPr>
          <w:b/>
        </w:rPr>
        <w:t>KPIs (N = 180):</w:t>
      </w:r>
      <w:r>
        <w:t xml:space="preserve"> 98% AI users · 61% ChatGPT · mean offloading 2.21/5 · attention index 64.9/100 · CT 5.33/8 · 25% low attention · 37% low CT.</w:t>
      </w:r>
    </w:p>
    <w:p>
      <w:pPr>
        <w:keepNext/>
        <w:spacing w:before="120"/>
      </w:pPr>
      <w:r>
        <w:rPr>
          <w:b/>
        </w:rPr>
        <w:t>Statistical analysis: correlation with the offloading score (cf. thesis Table 4.7)</w:t>
      </w:r>
    </w:p>
    <w:tbl>
      <w:tblPr>
        <w:tblStyle w:val="TableGrid"/>
        <w:tblW w:type="auto" w:w="0"/>
        <w:jc w:val="center"/>
        <w:tblLayout w:type="fixed"/>
        <w:tblLook w:firstColumn="1" w:firstRow="1" w:lastColumn="0" w:lastRow="0" w:noHBand="0" w:noVBand="1" w:val="04A0"/>
      </w:tblPr>
      <w:tblGrid>
        <w:gridCol w:w="3162"/>
        <w:gridCol w:w="1247"/>
        <w:gridCol w:w="1165"/>
        <w:gridCol w:w="3496"/>
      </w:tblGrid>
      <w:tr>
        <w:trPr>
          <w:tblHeader w:val="true"/>
        </w:trPr>
        <w:tc>
          <w:tcPr>
            <w:tcW w:type="dxa" w:w="3162"/>
            <w:shd w:val="clear" w:color="auto" w:fill="1F3A5F"/>
          </w:tcPr>
          <w:p>
            <w:pPr>
              <w:spacing w:after="20" w:line="240" w:lineRule="auto"/>
            </w:pPr>
            <w:r>
              <w:rPr>
                <w:b/>
                <w:color w:val="FFFFFF"/>
                <w:sz w:val="19"/>
              </w:rPr>
              <w:t>Variable</w:t>
            </w:r>
          </w:p>
        </w:tc>
        <w:tc>
          <w:tcPr>
            <w:tcW w:type="dxa" w:w="1247"/>
            <w:shd w:val="clear" w:color="auto" w:fill="1F3A5F"/>
          </w:tcPr>
          <w:p>
            <w:pPr>
              <w:spacing w:after="20" w:line="240" w:lineRule="auto"/>
            </w:pPr>
            <w:r>
              <w:rPr>
                <w:b/>
                <w:color w:val="FFFFFF"/>
                <w:sz w:val="19"/>
              </w:rPr>
              <w:t>Pearson r</w:t>
            </w:r>
          </w:p>
        </w:tc>
        <w:tc>
          <w:tcPr>
            <w:tcW w:type="dxa" w:w="1165"/>
            <w:shd w:val="clear" w:color="auto" w:fill="1F3A5F"/>
          </w:tcPr>
          <w:p>
            <w:pPr>
              <w:spacing w:after="20" w:line="240" w:lineRule="auto"/>
            </w:pPr>
            <w:r>
              <w:rPr>
                <w:b/>
                <w:color w:val="FFFFFF"/>
                <w:sz w:val="19"/>
              </w:rPr>
              <w:t>p</w:t>
            </w:r>
          </w:p>
        </w:tc>
        <w:tc>
          <w:tcPr>
            <w:tcW w:type="dxa" w:w="3496"/>
            <w:shd w:val="clear" w:color="auto" w:fill="1F3A5F"/>
          </w:tcPr>
          <w:p>
            <w:pPr>
              <w:spacing w:after="20" w:line="240" w:lineRule="auto"/>
            </w:pPr>
            <w:r>
              <w:rPr>
                <w:b/>
                <w:color w:val="FFFFFF"/>
                <w:sz w:val="19"/>
              </w:rPr>
              <w:t>Interpretation</w:t>
            </w:r>
          </w:p>
        </w:tc>
      </w:tr>
      <w:tr>
        <w:tc>
          <w:tcPr>
            <w:tcW w:type="dxa" w:w="3162"/>
          </w:tcPr>
          <w:p>
            <w:pPr>
              <w:spacing w:after="20" w:line="240" w:lineRule="auto"/>
            </w:pPr>
            <w:r>
              <w:rPr>
                <w:sz w:val="19"/>
              </w:rPr>
              <w:t>Attention index</w:t>
            </w:r>
          </w:p>
        </w:tc>
        <w:tc>
          <w:tcPr>
            <w:tcW w:type="dxa" w:w="1247"/>
          </w:tcPr>
          <w:p>
            <w:pPr>
              <w:spacing w:after="20" w:line="240" w:lineRule="auto"/>
            </w:pPr>
            <w:r>
              <w:rPr>
                <w:sz w:val="19"/>
              </w:rPr>
              <w:t>−0.58</w:t>
            </w:r>
          </w:p>
        </w:tc>
        <w:tc>
          <w:tcPr>
            <w:tcW w:type="dxa" w:w="1165"/>
          </w:tcPr>
          <w:p>
            <w:pPr>
              <w:spacing w:after="20" w:line="240" w:lineRule="auto"/>
            </w:pPr>
            <w:r>
              <w:rPr>
                <w:sz w:val="19"/>
              </w:rPr>
              <w:t>&lt; 0.001</w:t>
            </w:r>
          </w:p>
        </w:tc>
        <w:tc>
          <w:tcPr>
            <w:tcW w:type="dxa" w:w="3496"/>
          </w:tcPr>
          <w:p>
            <w:pPr>
              <w:spacing w:after="20" w:line="240" w:lineRule="auto"/>
            </w:pPr>
            <w:r>
              <w:rPr>
                <w:sz w:val="19"/>
              </w:rPr>
              <w:t>strong negative</w:t>
            </w:r>
          </w:p>
        </w:tc>
      </w:tr>
      <w:tr>
        <w:tc>
          <w:tcPr>
            <w:tcW w:type="dxa" w:w="3162"/>
            <w:shd w:val="clear" w:color="auto" w:fill="F3F6FA"/>
          </w:tcPr>
          <w:p>
            <w:pPr>
              <w:spacing w:after="20" w:line="240" w:lineRule="auto"/>
            </w:pPr>
            <w:r>
              <w:rPr>
                <w:sz w:val="19"/>
              </w:rPr>
              <w:t>Luria Trial 1</w:t>
            </w:r>
          </w:p>
        </w:tc>
        <w:tc>
          <w:tcPr>
            <w:tcW w:type="dxa" w:w="1247"/>
            <w:shd w:val="clear" w:color="auto" w:fill="F3F6FA"/>
          </w:tcPr>
          <w:p>
            <w:pPr>
              <w:spacing w:after="20" w:line="240" w:lineRule="auto"/>
            </w:pPr>
            <w:r>
              <w:rPr>
                <w:sz w:val="19"/>
              </w:rPr>
              <w:t>−0.53</w:t>
            </w:r>
          </w:p>
        </w:tc>
        <w:tc>
          <w:tcPr>
            <w:tcW w:type="dxa" w:w="1165"/>
            <w:shd w:val="clear" w:color="auto" w:fill="F3F6FA"/>
          </w:tcPr>
          <w:p>
            <w:pPr>
              <w:spacing w:after="20" w:line="240" w:lineRule="auto"/>
            </w:pPr>
            <w:r>
              <w:rPr>
                <w:sz w:val="19"/>
              </w:rPr>
              <w:t>&lt; 0.001</w:t>
            </w:r>
          </w:p>
        </w:tc>
        <w:tc>
          <w:tcPr>
            <w:tcW w:type="dxa" w:w="3496"/>
            <w:shd w:val="clear" w:color="auto" w:fill="F3F6FA"/>
          </w:tcPr>
          <w:p>
            <w:pPr>
              <w:spacing w:after="20" w:line="240" w:lineRule="auto"/>
            </w:pPr>
            <w:r>
              <w:rPr>
                <w:sz w:val="19"/>
              </w:rPr>
              <w:t>strong negative</w:t>
            </w:r>
          </w:p>
        </w:tc>
      </w:tr>
      <w:tr>
        <w:tc>
          <w:tcPr>
            <w:tcW w:type="dxa" w:w="3162"/>
          </w:tcPr>
          <w:p>
            <w:pPr>
              <w:spacing w:after="20" w:line="240" w:lineRule="auto"/>
            </w:pPr>
            <w:r>
              <w:rPr>
                <w:sz w:val="19"/>
              </w:rPr>
              <w:t>Luria delayed</w:t>
            </w:r>
          </w:p>
        </w:tc>
        <w:tc>
          <w:tcPr>
            <w:tcW w:type="dxa" w:w="1247"/>
          </w:tcPr>
          <w:p>
            <w:pPr>
              <w:spacing w:after="20" w:line="240" w:lineRule="auto"/>
            </w:pPr>
            <w:r>
              <w:rPr>
                <w:sz w:val="19"/>
              </w:rPr>
              <w:t>−0.47</w:t>
            </w:r>
          </w:p>
        </w:tc>
        <w:tc>
          <w:tcPr>
            <w:tcW w:type="dxa" w:w="1165"/>
          </w:tcPr>
          <w:p>
            <w:pPr>
              <w:spacing w:after="20" w:line="240" w:lineRule="auto"/>
            </w:pPr>
            <w:r>
              <w:rPr>
                <w:sz w:val="19"/>
              </w:rPr>
              <w:t>&lt; 0.001</w:t>
            </w:r>
          </w:p>
        </w:tc>
        <w:tc>
          <w:tcPr>
            <w:tcW w:type="dxa" w:w="3496"/>
          </w:tcPr>
          <w:p>
            <w:pPr>
              <w:spacing w:after="20" w:line="240" w:lineRule="auto"/>
            </w:pPr>
            <w:r>
              <w:rPr>
                <w:sz w:val="19"/>
              </w:rPr>
              <w:t>moderate negative</w:t>
            </w:r>
          </w:p>
        </w:tc>
      </w:tr>
      <w:tr>
        <w:tc>
          <w:tcPr>
            <w:tcW w:type="dxa" w:w="3162"/>
            <w:shd w:val="clear" w:color="auto" w:fill="F3F6FA"/>
          </w:tcPr>
          <w:p>
            <w:pPr>
              <w:spacing w:after="20" w:line="240" w:lineRule="auto"/>
            </w:pPr>
            <w:r>
              <w:rPr>
                <w:sz w:val="19"/>
              </w:rPr>
              <w:t>Schulte time (s)</w:t>
            </w:r>
          </w:p>
        </w:tc>
        <w:tc>
          <w:tcPr>
            <w:tcW w:type="dxa" w:w="1247"/>
            <w:shd w:val="clear" w:color="auto" w:fill="F3F6FA"/>
          </w:tcPr>
          <w:p>
            <w:pPr>
              <w:spacing w:after="20" w:line="240" w:lineRule="auto"/>
            </w:pPr>
            <w:r>
              <w:rPr>
                <w:sz w:val="19"/>
              </w:rPr>
              <w:t>+0.51</w:t>
            </w:r>
          </w:p>
        </w:tc>
        <w:tc>
          <w:tcPr>
            <w:tcW w:type="dxa" w:w="1165"/>
            <w:shd w:val="clear" w:color="auto" w:fill="F3F6FA"/>
          </w:tcPr>
          <w:p>
            <w:pPr>
              <w:spacing w:after="20" w:line="240" w:lineRule="auto"/>
            </w:pPr>
            <w:r>
              <w:rPr>
                <w:sz w:val="19"/>
              </w:rPr>
              <w:t>&lt; 0.001</w:t>
            </w:r>
          </w:p>
        </w:tc>
        <w:tc>
          <w:tcPr>
            <w:tcW w:type="dxa" w:w="3496"/>
            <w:shd w:val="clear" w:color="auto" w:fill="F3F6FA"/>
          </w:tcPr>
          <w:p>
            <w:pPr>
              <w:spacing w:after="20" w:line="240" w:lineRule="auto"/>
            </w:pPr>
            <w:r>
              <w:rPr>
                <w:sz w:val="19"/>
              </w:rPr>
              <w:t>slower = worse attention</w:t>
            </w:r>
          </w:p>
        </w:tc>
      </w:tr>
      <w:tr>
        <w:tc>
          <w:tcPr>
            <w:tcW w:type="dxa" w:w="3162"/>
          </w:tcPr>
          <w:p>
            <w:pPr>
              <w:spacing w:after="20" w:line="240" w:lineRule="auto"/>
            </w:pPr>
            <w:r>
              <w:rPr>
                <w:sz w:val="19"/>
              </w:rPr>
              <w:t>Digit Span</w:t>
            </w:r>
          </w:p>
        </w:tc>
        <w:tc>
          <w:tcPr>
            <w:tcW w:type="dxa" w:w="1247"/>
          </w:tcPr>
          <w:p>
            <w:pPr>
              <w:spacing w:after="20" w:line="240" w:lineRule="auto"/>
            </w:pPr>
            <w:r>
              <w:rPr>
                <w:sz w:val="19"/>
              </w:rPr>
              <w:t>−0.53</w:t>
            </w:r>
          </w:p>
        </w:tc>
        <w:tc>
          <w:tcPr>
            <w:tcW w:type="dxa" w:w="1165"/>
          </w:tcPr>
          <w:p>
            <w:pPr>
              <w:spacing w:after="20" w:line="240" w:lineRule="auto"/>
            </w:pPr>
            <w:r>
              <w:rPr>
                <w:sz w:val="19"/>
              </w:rPr>
              <w:t>&lt; 0.001</w:t>
            </w:r>
          </w:p>
        </w:tc>
        <w:tc>
          <w:tcPr>
            <w:tcW w:type="dxa" w:w="3496"/>
          </w:tcPr>
          <w:p>
            <w:pPr>
              <w:spacing w:after="20" w:line="240" w:lineRule="auto"/>
            </w:pPr>
            <w:r>
              <w:rPr>
                <w:sz w:val="19"/>
              </w:rPr>
              <w:t>strong negative</w:t>
            </w:r>
          </w:p>
        </w:tc>
      </w:tr>
      <w:tr>
        <w:tc>
          <w:tcPr>
            <w:tcW w:type="dxa" w:w="3162"/>
            <w:shd w:val="clear" w:color="auto" w:fill="F3F6FA"/>
          </w:tcPr>
          <w:p>
            <w:pPr>
              <w:spacing w:after="20" w:line="240" w:lineRule="auto"/>
            </w:pPr>
            <w:r>
              <w:rPr>
                <w:sz w:val="19"/>
              </w:rPr>
              <w:t>Critical thinking total</w:t>
            </w:r>
          </w:p>
        </w:tc>
        <w:tc>
          <w:tcPr>
            <w:tcW w:type="dxa" w:w="1247"/>
            <w:shd w:val="clear" w:color="auto" w:fill="F3F6FA"/>
          </w:tcPr>
          <w:p>
            <w:pPr>
              <w:spacing w:after="20" w:line="240" w:lineRule="auto"/>
            </w:pPr>
            <w:r>
              <w:rPr>
                <w:sz w:val="19"/>
              </w:rPr>
              <w:t>−0.53</w:t>
            </w:r>
          </w:p>
        </w:tc>
        <w:tc>
          <w:tcPr>
            <w:tcW w:type="dxa" w:w="1165"/>
            <w:shd w:val="clear" w:color="auto" w:fill="F3F6FA"/>
          </w:tcPr>
          <w:p>
            <w:pPr>
              <w:spacing w:after="20" w:line="240" w:lineRule="auto"/>
            </w:pPr>
            <w:r>
              <w:rPr>
                <w:sz w:val="19"/>
              </w:rPr>
              <w:t>&lt; 0.001</w:t>
            </w:r>
          </w:p>
        </w:tc>
        <w:tc>
          <w:tcPr>
            <w:tcW w:type="dxa" w:w="3496"/>
            <w:shd w:val="clear" w:color="auto" w:fill="F3F6FA"/>
          </w:tcPr>
          <w:p>
            <w:pPr>
              <w:spacing w:after="20" w:line="240" w:lineRule="auto"/>
            </w:pPr>
            <w:r>
              <w:rPr>
                <w:sz w:val="19"/>
              </w:rPr>
              <w:t>strong negative</w:t>
            </w:r>
          </w:p>
        </w:tc>
      </w:tr>
    </w:tbl>
    <w:p>
      <w:pPr>
        <w:spacing w:after="40"/>
      </w:pPr>
    </w:p>
    <w:p>
      <w:r>
        <w:t>Critical |r| for N = 180 is 0.146 (thesis, n = 12: 0.576).</w:t>
      </w:r>
    </w:p>
    <w:p>
      <w:pPr>
        <w:keepNext/>
        <w:jc w:val="center"/>
      </w:pPr>
      <w:r>
        <w:drawing>
          <wp:inline xmlns:a="http://schemas.openxmlformats.org/drawingml/2006/main" xmlns:pic="http://schemas.openxmlformats.org/drawingml/2006/picture">
            <wp:extent cx="3960000" cy="3008154"/>
            <wp:docPr id="20" name="Picture 20"/>
            <wp:cNvGraphicFramePr>
              <a:graphicFrameLocks noChangeAspect="1"/>
            </wp:cNvGraphicFramePr>
            <a:graphic>
              <a:graphicData uri="http://schemas.openxmlformats.org/drawingml/2006/picture">
                <pic:pic>
                  <pic:nvPicPr>
                    <pic:cNvPr id="0" name="fig_scatter_attention.png"/>
                    <pic:cNvPicPr/>
                  </pic:nvPicPr>
                  <pic:blipFill>
                    <a:blip r:embed="rId29"/>
                    <a:stretch>
                      <a:fillRect/>
                    </a:stretch>
                  </pic:blipFill>
                  <pic:spPr>
                    <a:xfrm>
                      <a:off x="0" y="0"/>
                      <a:ext cx="3960000" cy="3008154"/>
                    </a:xfrm>
                    <a:prstGeom prst="rect"/>
                  </pic:spPr>
                </pic:pic>
              </a:graphicData>
            </a:graphic>
          </wp:inline>
        </w:drawing>
      </w:r>
    </w:p>
    <w:p>
      <w:pPr>
        <w:pStyle w:val="Caption"/>
        <w:jc w:val="center"/>
      </w:pPr>
      <w:r>
        <w:t>Fig. 19.1 Offloading score vs attention index (N = 180)</w:t>
      </w:r>
    </w:p>
    <w:p>
      <w:pPr>
        <w:keepNext/>
        <w:jc w:val="center"/>
      </w:pPr>
      <w:r>
        <w:drawing>
          <wp:inline xmlns:a="http://schemas.openxmlformats.org/drawingml/2006/main" xmlns:pic="http://schemas.openxmlformats.org/drawingml/2006/picture">
            <wp:extent cx="3960000" cy="3064091"/>
            <wp:docPr id="21" name="Picture 21"/>
            <wp:cNvGraphicFramePr>
              <a:graphicFrameLocks noChangeAspect="1"/>
            </wp:cNvGraphicFramePr>
            <a:graphic>
              <a:graphicData uri="http://schemas.openxmlformats.org/drawingml/2006/picture">
                <pic:pic>
                  <pic:nvPicPr>
                    <pic:cNvPr id="0" name="fig_scatter_ct.png"/>
                    <pic:cNvPicPr/>
                  </pic:nvPicPr>
                  <pic:blipFill>
                    <a:blip r:embed="rId30"/>
                    <a:stretch>
                      <a:fillRect/>
                    </a:stretch>
                  </pic:blipFill>
                  <pic:spPr>
                    <a:xfrm>
                      <a:off x="0" y="0"/>
                      <a:ext cx="3960000" cy="3064091"/>
                    </a:xfrm>
                    <a:prstGeom prst="rect"/>
                  </pic:spPr>
                </pic:pic>
              </a:graphicData>
            </a:graphic>
          </wp:inline>
        </w:drawing>
      </w:r>
    </w:p>
    <w:p>
      <w:pPr>
        <w:pStyle w:val="Caption"/>
        <w:jc w:val="center"/>
      </w:pPr>
      <w:r>
        <w:t>Fig. 19.2 Offloading score vs critical thinking total (N = 180)</w:t>
      </w:r>
    </w:p>
    <w:p>
      <w:pPr>
        <w:keepNext/>
        <w:spacing w:before="120"/>
      </w:pPr>
      <w:r>
        <w:rPr>
          <w:b/>
        </w:rPr>
        <w:t>Group comparison, Low (n = 87) vs Higher (n = 93) AI use (cf. thesis Table 4.8)</w:t>
      </w:r>
    </w:p>
    <w:tbl>
      <w:tblPr>
        <w:tblStyle w:val="TableGrid"/>
        <w:tblW w:type="auto" w:w="0"/>
        <w:jc w:val="center"/>
        <w:tblLayout w:type="fixed"/>
        <w:tblLook w:firstColumn="1" w:firstRow="1" w:lastColumn="0" w:lastRow="0" w:noHBand="0" w:noVBand="1" w:val="04A0"/>
      </w:tblPr>
      <w:tblGrid>
        <w:gridCol w:w="3389"/>
        <w:gridCol w:w="1000"/>
        <w:gridCol w:w="1270"/>
        <w:gridCol w:w="1753"/>
        <w:gridCol w:w="1658"/>
      </w:tblGrid>
      <w:tr>
        <w:trPr>
          <w:tblHeader w:val="true"/>
        </w:trPr>
        <w:tc>
          <w:tcPr>
            <w:tcW w:type="dxa" w:w="3389"/>
            <w:shd w:val="clear" w:color="auto" w:fill="1F3A5F"/>
          </w:tcPr>
          <w:p>
            <w:pPr>
              <w:spacing w:after="20" w:line="240" w:lineRule="auto"/>
            </w:pPr>
            <w:r>
              <w:rPr>
                <w:b/>
                <w:color w:val="FFFFFF"/>
                <w:sz w:val="19"/>
              </w:rPr>
              <w:t>Indicator</w:t>
            </w:r>
          </w:p>
        </w:tc>
        <w:tc>
          <w:tcPr>
            <w:tcW w:type="dxa" w:w="1001"/>
            <w:shd w:val="clear" w:color="auto" w:fill="1F3A5F"/>
          </w:tcPr>
          <w:p>
            <w:pPr>
              <w:spacing w:after="20" w:line="240" w:lineRule="auto"/>
            </w:pPr>
            <w:r>
              <w:rPr>
                <w:b/>
                <w:color w:val="FFFFFF"/>
                <w:sz w:val="19"/>
              </w:rPr>
              <w:t>Low</w:t>
            </w:r>
          </w:p>
        </w:tc>
        <w:tc>
          <w:tcPr>
            <w:tcW w:type="dxa" w:w="1271"/>
            <w:shd w:val="clear" w:color="auto" w:fill="1F3A5F"/>
          </w:tcPr>
          <w:p>
            <w:pPr>
              <w:spacing w:after="20" w:line="240" w:lineRule="auto"/>
            </w:pPr>
            <w:r>
              <w:rPr>
                <w:b/>
                <w:color w:val="FFFFFF"/>
                <w:sz w:val="19"/>
              </w:rPr>
              <w:t>Higher</w:t>
            </w:r>
          </w:p>
        </w:tc>
        <w:tc>
          <w:tcPr>
            <w:tcW w:type="dxa" w:w="1753"/>
            <w:shd w:val="clear" w:color="auto" w:fill="1F3A5F"/>
          </w:tcPr>
          <w:p>
            <w:pPr>
              <w:spacing w:after="20" w:line="240" w:lineRule="auto"/>
            </w:pPr>
            <w:r>
              <w:rPr>
                <w:b/>
                <w:color w:val="FFFFFF"/>
                <w:sz w:val="19"/>
              </w:rPr>
              <w:t>Cohen's d</w:t>
            </w:r>
          </w:p>
        </w:tc>
        <w:tc>
          <w:tcPr>
            <w:tcW w:type="dxa" w:w="1658"/>
            <w:shd w:val="clear" w:color="auto" w:fill="1F3A5F"/>
          </w:tcPr>
          <w:p>
            <w:pPr>
              <w:spacing w:after="20" w:line="240" w:lineRule="auto"/>
            </w:pPr>
            <w:r>
              <w:rPr>
                <w:b/>
                <w:color w:val="FFFFFF"/>
                <w:sz w:val="19"/>
              </w:rPr>
              <w:t>p</w:t>
            </w:r>
          </w:p>
        </w:tc>
      </w:tr>
      <w:tr>
        <w:tc>
          <w:tcPr>
            <w:tcW w:type="dxa" w:w="3389"/>
          </w:tcPr>
          <w:p>
            <w:pPr>
              <w:spacing w:after="20" w:line="240" w:lineRule="auto"/>
            </w:pPr>
            <w:r>
              <w:rPr>
                <w:sz w:val="19"/>
              </w:rPr>
              <w:t>Offloading score</w:t>
            </w:r>
          </w:p>
        </w:tc>
        <w:tc>
          <w:tcPr>
            <w:tcW w:type="dxa" w:w="1001"/>
          </w:tcPr>
          <w:p>
            <w:pPr>
              <w:spacing w:after="20" w:line="240" w:lineRule="auto"/>
            </w:pPr>
            <w:r>
              <w:rPr>
                <w:sz w:val="19"/>
              </w:rPr>
              <w:t>1.57</w:t>
            </w:r>
          </w:p>
        </w:tc>
        <w:tc>
          <w:tcPr>
            <w:tcW w:type="dxa" w:w="1271"/>
          </w:tcPr>
          <w:p>
            <w:pPr>
              <w:spacing w:after="20" w:line="240" w:lineRule="auto"/>
            </w:pPr>
            <w:r>
              <w:rPr>
                <w:sz w:val="19"/>
              </w:rPr>
              <w:t>2.81</w:t>
            </w:r>
          </w:p>
        </w:tc>
        <w:tc>
          <w:tcPr>
            <w:tcW w:type="dxa" w:w="1753"/>
          </w:tcPr>
          <w:p>
            <w:pPr>
              <w:spacing w:after="20" w:line="240" w:lineRule="auto"/>
            </w:pPr>
            <w:r>
              <w:rPr>
                <w:sz w:val="19"/>
              </w:rPr>
              <w:t>2.09</w:t>
            </w:r>
          </w:p>
        </w:tc>
        <w:tc>
          <w:tcPr>
            <w:tcW w:type="dxa" w:w="1658"/>
          </w:tcPr>
          <w:p>
            <w:pPr>
              <w:spacing w:after="20" w:line="240" w:lineRule="auto"/>
            </w:pPr>
            <w:r>
              <w:rPr>
                <w:sz w:val="19"/>
              </w:rPr>
              <w:t>&lt; 0.001</w:t>
            </w:r>
          </w:p>
        </w:tc>
      </w:tr>
      <w:tr>
        <w:tc>
          <w:tcPr>
            <w:tcW w:type="dxa" w:w="3389"/>
            <w:shd w:val="clear" w:color="auto" w:fill="F3F6FA"/>
          </w:tcPr>
          <w:p>
            <w:pPr>
              <w:spacing w:after="20" w:line="240" w:lineRule="auto"/>
            </w:pPr>
            <w:r>
              <w:rPr>
                <w:sz w:val="19"/>
              </w:rPr>
              <w:t>Attention index</w:t>
            </w:r>
          </w:p>
        </w:tc>
        <w:tc>
          <w:tcPr>
            <w:tcW w:type="dxa" w:w="1001"/>
            <w:shd w:val="clear" w:color="auto" w:fill="F3F6FA"/>
          </w:tcPr>
          <w:p>
            <w:pPr>
              <w:spacing w:after="20" w:line="240" w:lineRule="auto"/>
            </w:pPr>
            <w:r>
              <w:rPr>
                <w:sz w:val="19"/>
              </w:rPr>
              <w:t>70.8</w:t>
            </w:r>
          </w:p>
        </w:tc>
        <w:tc>
          <w:tcPr>
            <w:tcW w:type="dxa" w:w="1271"/>
            <w:shd w:val="clear" w:color="auto" w:fill="F3F6FA"/>
          </w:tcPr>
          <w:p>
            <w:pPr>
              <w:spacing w:after="20" w:line="240" w:lineRule="auto"/>
            </w:pPr>
            <w:r>
              <w:rPr>
                <w:sz w:val="19"/>
              </w:rPr>
              <w:t>59.5</w:t>
            </w:r>
          </w:p>
        </w:tc>
        <w:tc>
          <w:tcPr>
            <w:tcW w:type="dxa" w:w="1753"/>
            <w:shd w:val="clear" w:color="auto" w:fill="F3F6FA"/>
          </w:tcPr>
          <w:p>
            <w:pPr>
              <w:spacing w:after="20" w:line="240" w:lineRule="auto"/>
            </w:pPr>
            <w:r>
              <w:rPr>
                <w:sz w:val="19"/>
              </w:rPr>
              <w:t>−0.90</w:t>
            </w:r>
          </w:p>
        </w:tc>
        <w:tc>
          <w:tcPr>
            <w:tcW w:type="dxa" w:w="1658"/>
            <w:shd w:val="clear" w:color="auto" w:fill="F3F6FA"/>
          </w:tcPr>
          <w:p>
            <w:pPr>
              <w:spacing w:after="20" w:line="240" w:lineRule="auto"/>
            </w:pPr>
            <w:r>
              <w:rPr>
                <w:sz w:val="19"/>
              </w:rPr>
              <w:t>&lt; 0.001</w:t>
            </w:r>
          </w:p>
        </w:tc>
      </w:tr>
      <w:tr>
        <w:tc>
          <w:tcPr>
            <w:tcW w:type="dxa" w:w="3389"/>
          </w:tcPr>
          <w:p>
            <w:pPr>
              <w:spacing w:after="20" w:line="240" w:lineRule="auto"/>
            </w:pPr>
            <w:r>
              <w:rPr>
                <w:sz w:val="19"/>
              </w:rPr>
              <w:t>Luria T1</w:t>
            </w:r>
          </w:p>
        </w:tc>
        <w:tc>
          <w:tcPr>
            <w:tcW w:type="dxa" w:w="1001"/>
          </w:tcPr>
          <w:p>
            <w:pPr>
              <w:spacing w:after="20" w:line="240" w:lineRule="auto"/>
            </w:pPr>
            <w:r>
              <w:rPr>
                <w:sz w:val="19"/>
              </w:rPr>
              <w:t>7.44</w:t>
            </w:r>
          </w:p>
        </w:tc>
        <w:tc>
          <w:tcPr>
            <w:tcW w:type="dxa" w:w="1271"/>
          </w:tcPr>
          <w:p>
            <w:pPr>
              <w:spacing w:after="20" w:line="240" w:lineRule="auto"/>
            </w:pPr>
            <w:r>
              <w:rPr>
                <w:sz w:val="19"/>
              </w:rPr>
              <w:t>6.24</w:t>
            </w:r>
          </w:p>
        </w:tc>
        <w:tc>
          <w:tcPr>
            <w:tcW w:type="dxa" w:w="1753"/>
          </w:tcPr>
          <w:p>
            <w:pPr>
              <w:spacing w:after="20" w:line="240" w:lineRule="auto"/>
            </w:pPr>
            <w:r>
              <w:rPr>
                <w:sz w:val="19"/>
              </w:rPr>
              <w:t>−0.80</w:t>
            </w:r>
          </w:p>
        </w:tc>
        <w:tc>
          <w:tcPr>
            <w:tcW w:type="dxa" w:w="1658"/>
          </w:tcPr>
          <w:p>
            <w:pPr>
              <w:spacing w:after="20" w:line="240" w:lineRule="auto"/>
            </w:pPr>
            <w:r>
              <w:rPr>
                <w:sz w:val="19"/>
              </w:rPr>
              <w:t>&lt; 0.001</w:t>
            </w:r>
          </w:p>
        </w:tc>
      </w:tr>
      <w:tr>
        <w:tc>
          <w:tcPr>
            <w:tcW w:type="dxa" w:w="3389"/>
            <w:shd w:val="clear" w:color="auto" w:fill="F3F6FA"/>
          </w:tcPr>
          <w:p>
            <w:pPr>
              <w:spacing w:after="20" w:line="240" w:lineRule="auto"/>
            </w:pPr>
            <w:r>
              <w:rPr>
                <w:sz w:val="19"/>
              </w:rPr>
              <w:t>Luria delayed</w:t>
            </w:r>
          </w:p>
        </w:tc>
        <w:tc>
          <w:tcPr>
            <w:tcW w:type="dxa" w:w="1001"/>
            <w:shd w:val="clear" w:color="auto" w:fill="F3F6FA"/>
          </w:tcPr>
          <w:p>
            <w:pPr>
              <w:spacing w:after="20" w:line="240" w:lineRule="auto"/>
            </w:pPr>
            <w:r>
              <w:rPr>
                <w:sz w:val="19"/>
              </w:rPr>
              <w:t>7.14</w:t>
            </w:r>
          </w:p>
        </w:tc>
        <w:tc>
          <w:tcPr>
            <w:tcW w:type="dxa" w:w="1271"/>
            <w:shd w:val="clear" w:color="auto" w:fill="F3F6FA"/>
          </w:tcPr>
          <w:p>
            <w:pPr>
              <w:spacing w:after="20" w:line="240" w:lineRule="auto"/>
            </w:pPr>
            <w:r>
              <w:rPr>
                <w:sz w:val="19"/>
              </w:rPr>
              <w:t>5.57</w:t>
            </w:r>
          </w:p>
        </w:tc>
        <w:tc>
          <w:tcPr>
            <w:tcW w:type="dxa" w:w="1753"/>
            <w:shd w:val="clear" w:color="auto" w:fill="F3F6FA"/>
          </w:tcPr>
          <w:p>
            <w:pPr>
              <w:spacing w:after="20" w:line="240" w:lineRule="auto"/>
            </w:pPr>
            <w:r>
              <w:rPr>
                <w:sz w:val="19"/>
              </w:rPr>
              <w:t>−0.74</w:t>
            </w:r>
          </w:p>
        </w:tc>
        <w:tc>
          <w:tcPr>
            <w:tcW w:type="dxa" w:w="1658"/>
            <w:shd w:val="clear" w:color="auto" w:fill="F3F6FA"/>
          </w:tcPr>
          <w:p>
            <w:pPr>
              <w:spacing w:after="20" w:line="240" w:lineRule="auto"/>
            </w:pPr>
            <w:r>
              <w:rPr>
                <w:sz w:val="19"/>
              </w:rPr>
              <w:t>&lt; 0.001</w:t>
            </w:r>
          </w:p>
        </w:tc>
      </w:tr>
      <w:tr>
        <w:tc>
          <w:tcPr>
            <w:tcW w:type="dxa" w:w="3389"/>
          </w:tcPr>
          <w:p>
            <w:pPr>
              <w:spacing w:after="20" w:line="240" w:lineRule="auto"/>
            </w:pPr>
            <w:r>
              <w:rPr>
                <w:sz w:val="19"/>
              </w:rPr>
              <w:t>Schulte (s)</w:t>
            </w:r>
          </w:p>
        </w:tc>
        <w:tc>
          <w:tcPr>
            <w:tcW w:type="dxa" w:w="1001"/>
          </w:tcPr>
          <w:p>
            <w:pPr>
              <w:spacing w:after="20" w:line="240" w:lineRule="auto"/>
            </w:pPr>
            <w:r>
              <w:rPr>
                <w:sz w:val="19"/>
              </w:rPr>
              <w:t>35.5</w:t>
            </w:r>
          </w:p>
        </w:tc>
        <w:tc>
          <w:tcPr>
            <w:tcW w:type="dxa" w:w="1271"/>
          </w:tcPr>
          <w:p>
            <w:pPr>
              <w:spacing w:after="20" w:line="240" w:lineRule="auto"/>
            </w:pPr>
            <w:r>
              <w:rPr>
                <w:sz w:val="19"/>
              </w:rPr>
              <w:t>40.3</w:t>
            </w:r>
          </w:p>
        </w:tc>
        <w:tc>
          <w:tcPr>
            <w:tcW w:type="dxa" w:w="1753"/>
          </w:tcPr>
          <w:p>
            <w:pPr>
              <w:spacing w:after="20" w:line="240" w:lineRule="auto"/>
            </w:pPr>
            <w:r>
              <w:rPr>
                <w:sz w:val="19"/>
              </w:rPr>
              <w:t>+0.80</w:t>
            </w:r>
          </w:p>
        </w:tc>
        <w:tc>
          <w:tcPr>
            <w:tcW w:type="dxa" w:w="1658"/>
          </w:tcPr>
          <w:p>
            <w:pPr>
              <w:spacing w:after="20" w:line="240" w:lineRule="auto"/>
            </w:pPr>
            <w:r>
              <w:rPr>
                <w:sz w:val="19"/>
              </w:rPr>
              <w:t>&lt; 0.001</w:t>
            </w:r>
          </w:p>
        </w:tc>
      </w:tr>
      <w:tr>
        <w:tc>
          <w:tcPr>
            <w:tcW w:type="dxa" w:w="3389"/>
            <w:shd w:val="clear" w:color="auto" w:fill="F3F6FA"/>
          </w:tcPr>
          <w:p>
            <w:pPr>
              <w:spacing w:after="20" w:line="240" w:lineRule="auto"/>
            </w:pPr>
            <w:r>
              <w:rPr>
                <w:sz w:val="19"/>
              </w:rPr>
              <w:t>CT total</w:t>
            </w:r>
          </w:p>
        </w:tc>
        <w:tc>
          <w:tcPr>
            <w:tcW w:type="dxa" w:w="1001"/>
            <w:shd w:val="clear" w:color="auto" w:fill="F3F6FA"/>
          </w:tcPr>
          <w:p>
            <w:pPr>
              <w:spacing w:after="20" w:line="240" w:lineRule="auto"/>
            </w:pPr>
            <w:r>
              <w:rPr>
                <w:sz w:val="19"/>
              </w:rPr>
              <w:t>6.07</w:t>
            </w:r>
          </w:p>
        </w:tc>
        <w:tc>
          <w:tcPr>
            <w:tcW w:type="dxa" w:w="1271"/>
            <w:shd w:val="clear" w:color="auto" w:fill="F3F6FA"/>
          </w:tcPr>
          <w:p>
            <w:pPr>
              <w:spacing w:after="20" w:line="240" w:lineRule="auto"/>
            </w:pPr>
            <w:r>
              <w:rPr>
                <w:sz w:val="19"/>
              </w:rPr>
              <w:t>4.63</w:t>
            </w:r>
          </w:p>
        </w:tc>
        <w:tc>
          <w:tcPr>
            <w:tcW w:type="dxa" w:w="1753"/>
            <w:shd w:val="clear" w:color="auto" w:fill="F3F6FA"/>
          </w:tcPr>
          <w:p>
            <w:pPr>
              <w:spacing w:after="20" w:line="240" w:lineRule="auto"/>
            </w:pPr>
            <w:r>
              <w:rPr>
                <w:sz w:val="19"/>
              </w:rPr>
              <w:t>−0.74</w:t>
            </w:r>
          </w:p>
        </w:tc>
        <w:tc>
          <w:tcPr>
            <w:tcW w:type="dxa" w:w="1658"/>
            <w:shd w:val="clear" w:color="auto" w:fill="F3F6FA"/>
          </w:tcPr>
          <w:p>
            <w:pPr>
              <w:spacing w:after="20" w:line="240" w:lineRule="auto"/>
            </w:pPr>
            <w:r>
              <w:rPr>
                <w:sz w:val="19"/>
              </w:rPr>
              <w:t>&lt; 0.001</w:t>
            </w:r>
          </w:p>
        </w:tc>
      </w:tr>
    </w:tbl>
    <w:p>
      <w:pPr>
        <w:spacing w:after="40"/>
      </w:pPr>
    </w:p>
    <w:p>
      <w:r>
        <w:rPr>
          <w:b/>
        </w:rPr>
        <w:t>Behavioural profile (cf. thesis Table 4.3):</w:t>
      </w:r>
      <w:r>
        <w:t xml:space="preserve"> asking AI first often/always: 3% vs 22%; copying sometimes or more: 5% vs 43%; rewriting often/always: 93% vs 54%; checking often/always: 87% vs 45%; feeling AI-independent: 83% vs 35%.</w:t>
      </w:r>
    </w:p>
    <w:p>
      <w:pPr>
        <w:keepNext/>
        <w:spacing w:before="120"/>
      </w:pPr>
      <w:r>
        <w:rPr>
          <w:b/>
        </w:rPr>
        <w:t>Insights</w:t>
      </w:r>
    </w:p>
    <w:p>
      <w:pPr>
        <w:pStyle w:val="ListNumber"/>
        <w:numPr>
          <w:ilvl w:val="0"/>
          <w:numId w:val="13"/>
        </w:numPr>
        <w:spacing w:after="60"/>
      </w:pPr>
      <w:r>
        <w:t>In a properly powered sample, the thesis hypothesis is detectable. The direction matches Gerlich (2025) and Tian &amp; Zhang (2025), with magnitudes between their estimates.</w:t>
      </w:r>
    </w:p>
    <w:p>
      <w:pPr>
        <w:pStyle w:val="ListNumber"/>
        <w:numPr>
          <w:ilvl w:val="0"/>
          <w:numId w:val="13"/>
        </w:numPr>
        <w:spacing w:after="60"/>
      </w:pPr>
      <w:r>
        <w:rPr>
          <w:i/>
        </w:rPr>
        <w:t>How</w:t>
      </w:r>
      <w:r>
        <w:t xml:space="preserve"> students use AI matters as much as </w:t>
      </w:r>
      <w:r>
        <w:rPr>
          <w:i/>
        </w:rPr>
        <w:t>how often</w:t>
      </w:r>
      <w:r>
        <w:t>. Q12 (independence), Q11 (checking) and Q9 (copying) are among the strongest predictors, which supports the thesis's distinction between reflective and passive users.</w:t>
      </w:r>
    </w:p>
    <w:p>
      <w:pPr>
        <w:pStyle w:val="ListNumber"/>
        <w:numPr>
          <w:ilvl w:val="0"/>
          <w:numId w:val="13"/>
        </w:numPr>
        <w:spacing w:after="60"/>
      </w:pPr>
      <w:r>
        <w:t>Screen time and sleep are major predictors of low attention, consistent with Leonhardt et al. (2025) and Sina et al. (2024).</w:t>
      </w:r>
    </w:p>
    <w:p>
      <w:pPr>
        <w:pStyle w:val="ListNumber"/>
        <w:numPr>
          <w:ilvl w:val="0"/>
          <w:numId w:val="13"/>
        </w:numPr>
        <w:spacing w:after="60"/>
      </w:pPr>
      <w:r>
        <w:t>The thesis's positive n = 12 correlations (r ≈ +0.3) fall inside the sampling noise expected at that size. This supports its own conclusion that a sample of 40–50 or more is needed.</w:t>
      </w:r>
    </w:p>
    <w:p>
      <w:pPr>
        <w:pStyle w:val="Heading1"/>
      </w:pPr>
      <w:r>
        <w:t>20. Results &amp; Output</w:t>
      </w:r>
    </w:p>
    <w:p>
      <w:r>
        <w:rPr>
          <w:b/>
        </w:rPr>
        <w:t>Final output:</w:t>
      </w:r>
      <w:r>
        <w:t xml:space="preserve"> a working web application (6 modules, 14 routes, REST API), a SQLite database of 180 records, two trained models with stored metrics, and a reproducible pipeline.</w:t>
      </w:r>
    </w:p>
    <w:p>
      <w:pPr>
        <w:keepNext/>
        <w:spacing w:before="120"/>
      </w:pPr>
      <w:r>
        <w:rPr>
          <w:b/>
        </w:rPr>
        <w:t>Model performance (hold-out test set, n = 45)</w:t>
      </w:r>
    </w:p>
    <w:tbl>
      <w:tblPr>
        <w:tblStyle w:val="TableGrid"/>
        <w:tblW w:type="auto" w:w="0"/>
        <w:jc w:val="center"/>
        <w:tblLayout w:type="fixed"/>
        <w:tblLook w:firstColumn="1" w:firstRow="1" w:lastColumn="0" w:lastRow="0" w:noHBand="0" w:noVBand="1" w:val="04A0"/>
      </w:tblPr>
      <w:tblGrid>
        <w:gridCol w:w="1392"/>
        <w:gridCol w:w="2068"/>
        <w:gridCol w:w="952"/>
        <w:gridCol w:w="1043"/>
        <w:gridCol w:w="771"/>
        <w:gridCol w:w="680"/>
        <w:gridCol w:w="861"/>
        <w:gridCol w:w="680"/>
        <w:gridCol w:w="622"/>
      </w:tblGrid>
      <w:tr>
        <w:trPr>
          <w:tblHeader w:val="true"/>
        </w:trPr>
        <w:tc>
          <w:tcPr>
            <w:tcW w:type="dxa" w:w="1392"/>
            <w:shd w:val="clear" w:color="auto" w:fill="1F3A5F"/>
          </w:tcPr>
          <w:p>
            <w:pPr>
              <w:spacing w:after="20" w:line="240" w:lineRule="auto"/>
            </w:pPr>
            <w:r>
              <w:rPr>
                <w:b/>
                <w:color w:val="FFFFFF"/>
                <w:sz w:val="16"/>
              </w:rPr>
              <w:t>Target</w:t>
            </w:r>
          </w:p>
        </w:tc>
        <w:tc>
          <w:tcPr>
            <w:tcW w:type="dxa" w:w="2068"/>
            <w:shd w:val="clear" w:color="auto" w:fill="1F3A5F"/>
          </w:tcPr>
          <w:p>
            <w:pPr>
              <w:spacing w:after="20" w:line="240" w:lineRule="auto"/>
            </w:pPr>
            <w:r>
              <w:rPr>
                <w:b/>
                <w:color w:val="FFFFFF"/>
                <w:sz w:val="16"/>
              </w:rPr>
              <w:t>Model</w:t>
            </w:r>
          </w:p>
        </w:tc>
        <w:tc>
          <w:tcPr>
            <w:tcW w:type="dxa" w:w="952"/>
            <w:shd w:val="clear" w:color="auto" w:fill="1F3A5F"/>
          </w:tcPr>
          <w:p>
            <w:pPr>
              <w:spacing w:after="20" w:line="240" w:lineRule="auto"/>
            </w:pPr>
            <w:r>
              <w:rPr>
                <w:b/>
                <w:color w:val="FFFFFF"/>
                <w:sz w:val="16"/>
              </w:rPr>
              <w:t>Accuracy</w:t>
            </w:r>
          </w:p>
        </w:tc>
        <w:tc>
          <w:tcPr>
            <w:tcW w:type="dxa" w:w="1043"/>
            <w:shd w:val="clear" w:color="auto" w:fill="1F3A5F"/>
          </w:tcPr>
          <w:p>
            <w:pPr>
              <w:spacing w:after="20" w:line="240" w:lineRule="auto"/>
            </w:pPr>
            <w:r>
              <w:rPr>
                <w:b/>
                <w:color w:val="FFFFFF"/>
                <w:sz w:val="16"/>
              </w:rPr>
              <w:t>Precision</w:t>
            </w:r>
          </w:p>
        </w:tc>
        <w:tc>
          <w:tcPr>
            <w:tcW w:type="dxa" w:w="771"/>
            <w:shd w:val="clear" w:color="auto" w:fill="1F3A5F"/>
          </w:tcPr>
          <w:p>
            <w:pPr>
              <w:spacing w:after="20" w:line="240" w:lineRule="auto"/>
            </w:pPr>
            <w:r>
              <w:rPr>
                <w:b/>
                <w:color w:val="FFFFFF"/>
                <w:sz w:val="16"/>
              </w:rPr>
              <w:t>Recall</w:t>
            </w:r>
          </w:p>
        </w:tc>
        <w:tc>
          <w:tcPr>
            <w:tcW w:type="dxa" w:w="680"/>
            <w:shd w:val="clear" w:color="auto" w:fill="1F3A5F"/>
          </w:tcPr>
          <w:p>
            <w:pPr>
              <w:spacing w:after="20" w:line="240" w:lineRule="auto"/>
            </w:pPr>
            <w:r>
              <w:rPr>
                <w:b/>
                <w:color w:val="FFFFFF"/>
                <w:sz w:val="16"/>
              </w:rPr>
              <w:t>F1</w:t>
            </w:r>
          </w:p>
        </w:tc>
        <w:tc>
          <w:tcPr>
            <w:tcW w:type="dxa" w:w="862"/>
            <w:shd w:val="clear" w:color="auto" w:fill="1F3A5F"/>
          </w:tcPr>
          <w:p>
            <w:pPr>
              <w:spacing w:after="20" w:line="240" w:lineRule="auto"/>
            </w:pPr>
            <w:r>
              <w:rPr>
                <w:b/>
                <w:color w:val="FFFFFF"/>
                <w:sz w:val="16"/>
              </w:rPr>
              <w:t>ROC-AUC</w:t>
            </w:r>
          </w:p>
        </w:tc>
        <w:tc>
          <w:tcPr>
            <w:tcW w:type="dxa" w:w="680"/>
            <w:shd w:val="clear" w:color="auto" w:fill="1F3A5F"/>
          </w:tcPr>
          <w:p>
            <w:pPr>
              <w:spacing w:after="20" w:line="240" w:lineRule="auto"/>
            </w:pPr>
            <w:r>
              <w:rPr>
                <w:b/>
                <w:color w:val="FFFFFF"/>
                <w:sz w:val="16"/>
              </w:rPr>
              <w:t>CV5 F1</w:t>
            </w:r>
          </w:p>
        </w:tc>
        <w:tc>
          <w:tcPr>
            <w:tcW w:type="dxa" w:w="622"/>
            <w:shd w:val="clear" w:color="auto" w:fill="1F3A5F"/>
          </w:tcPr>
          <w:p>
            <w:pPr>
              <w:spacing w:after="20" w:line="240" w:lineRule="auto"/>
            </w:pPr>
            <w:r>
              <w:rPr>
                <w:b/>
                <w:color w:val="FFFFFF"/>
                <w:sz w:val="16"/>
              </w:rPr>
              <w:t>CV5 AUC</w:t>
            </w:r>
          </w:p>
        </w:tc>
      </w:tr>
      <w:tr>
        <w:tc>
          <w:tcPr>
            <w:tcW w:type="dxa" w:w="1392"/>
          </w:tcPr>
          <w:p>
            <w:pPr>
              <w:spacing w:after="20" w:line="240" w:lineRule="auto"/>
            </w:pPr>
            <w:r>
              <w:rPr>
                <w:sz w:val="16"/>
              </w:rPr>
              <w:t>Low attention</w:t>
            </w:r>
          </w:p>
        </w:tc>
        <w:tc>
          <w:tcPr>
            <w:tcW w:type="dxa" w:w="2068"/>
          </w:tcPr>
          <w:p>
            <w:pPr>
              <w:spacing w:after="20" w:line="240" w:lineRule="auto"/>
            </w:pPr>
            <w:r>
              <w:rPr>
                <w:b/>
                <w:sz w:val="16"/>
              </w:rPr>
              <w:t>Logistic Regression ★</w:t>
            </w:r>
          </w:p>
        </w:tc>
        <w:tc>
          <w:tcPr>
            <w:tcW w:type="dxa" w:w="952"/>
          </w:tcPr>
          <w:p>
            <w:pPr>
              <w:spacing w:after="20" w:line="240" w:lineRule="auto"/>
            </w:pPr>
            <w:r>
              <w:rPr>
                <w:sz w:val="16"/>
              </w:rPr>
              <w:t>0.844</w:t>
            </w:r>
          </w:p>
        </w:tc>
        <w:tc>
          <w:tcPr>
            <w:tcW w:type="dxa" w:w="1043"/>
          </w:tcPr>
          <w:p>
            <w:pPr>
              <w:spacing w:after="20" w:line="240" w:lineRule="auto"/>
            </w:pPr>
            <w:r>
              <w:rPr>
                <w:sz w:val="16"/>
              </w:rPr>
              <w:t>0.611</w:t>
            </w:r>
          </w:p>
        </w:tc>
        <w:tc>
          <w:tcPr>
            <w:tcW w:type="dxa" w:w="771"/>
          </w:tcPr>
          <w:p>
            <w:pPr>
              <w:spacing w:after="20" w:line="240" w:lineRule="auto"/>
            </w:pPr>
            <w:r>
              <w:rPr>
                <w:b/>
                <w:sz w:val="16"/>
              </w:rPr>
              <w:t>1.000</w:t>
            </w:r>
          </w:p>
        </w:tc>
        <w:tc>
          <w:tcPr>
            <w:tcW w:type="dxa" w:w="680"/>
          </w:tcPr>
          <w:p>
            <w:pPr>
              <w:spacing w:after="20" w:line="240" w:lineRule="auto"/>
            </w:pPr>
            <w:r>
              <w:rPr>
                <w:b/>
                <w:sz w:val="16"/>
              </w:rPr>
              <w:t>0.759</w:t>
            </w:r>
          </w:p>
        </w:tc>
        <w:tc>
          <w:tcPr>
            <w:tcW w:type="dxa" w:w="862"/>
          </w:tcPr>
          <w:p>
            <w:pPr>
              <w:spacing w:after="20" w:line="240" w:lineRule="auto"/>
            </w:pPr>
            <w:r>
              <w:rPr>
                <w:b/>
                <w:sz w:val="16"/>
              </w:rPr>
              <w:t>0.957</w:t>
            </w:r>
          </w:p>
        </w:tc>
        <w:tc>
          <w:tcPr>
            <w:tcW w:type="dxa" w:w="680"/>
          </w:tcPr>
          <w:p>
            <w:pPr>
              <w:spacing w:after="20" w:line="240" w:lineRule="auto"/>
            </w:pPr>
            <w:r>
              <w:rPr>
                <w:sz w:val="16"/>
              </w:rPr>
              <w:t>0.665</w:t>
            </w:r>
          </w:p>
        </w:tc>
        <w:tc>
          <w:tcPr>
            <w:tcW w:type="dxa" w:w="622"/>
          </w:tcPr>
          <w:p>
            <w:pPr>
              <w:spacing w:after="20" w:line="240" w:lineRule="auto"/>
            </w:pPr>
            <w:r>
              <w:rPr>
                <w:sz w:val="16"/>
              </w:rPr>
              <w:t>0.821</w:t>
            </w:r>
          </w:p>
        </w:tc>
      </w:tr>
      <w:tr>
        <w:tc>
          <w:tcPr>
            <w:tcW w:type="dxa" w:w="1392"/>
            <w:shd w:val="clear" w:color="auto" w:fill="F3F6FA"/>
          </w:tcPr>
          <w:p>
            <w:pPr>
              <w:spacing w:after="20" w:line="240" w:lineRule="auto"/>
            </w:pPr>
          </w:p>
        </w:tc>
        <w:tc>
          <w:tcPr>
            <w:tcW w:type="dxa" w:w="2068"/>
            <w:shd w:val="clear" w:color="auto" w:fill="F3F6FA"/>
          </w:tcPr>
          <w:p>
            <w:pPr>
              <w:spacing w:after="20" w:line="240" w:lineRule="auto"/>
            </w:pPr>
            <w:r>
              <w:rPr>
                <w:sz w:val="16"/>
              </w:rPr>
              <w:t>Random Forest</w:t>
            </w:r>
          </w:p>
        </w:tc>
        <w:tc>
          <w:tcPr>
            <w:tcW w:type="dxa" w:w="952"/>
            <w:shd w:val="clear" w:color="auto" w:fill="F3F6FA"/>
          </w:tcPr>
          <w:p>
            <w:pPr>
              <w:spacing w:after="20" w:line="240" w:lineRule="auto"/>
            </w:pPr>
            <w:r>
              <w:rPr>
                <w:sz w:val="16"/>
              </w:rPr>
              <w:t>0.778</w:t>
            </w:r>
          </w:p>
        </w:tc>
        <w:tc>
          <w:tcPr>
            <w:tcW w:type="dxa" w:w="1043"/>
            <w:shd w:val="clear" w:color="auto" w:fill="F3F6FA"/>
          </w:tcPr>
          <w:p>
            <w:pPr>
              <w:spacing w:after="20" w:line="240" w:lineRule="auto"/>
            </w:pPr>
            <w:r>
              <w:rPr>
                <w:sz w:val="16"/>
              </w:rPr>
              <w:t>0.533</w:t>
            </w:r>
          </w:p>
        </w:tc>
        <w:tc>
          <w:tcPr>
            <w:tcW w:type="dxa" w:w="771"/>
            <w:shd w:val="clear" w:color="auto" w:fill="F3F6FA"/>
          </w:tcPr>
          <w:p>
            <w:pPr>
              <w:spacing w:after="20" w:line="240" w:lineRule="auto"/>
            </w:pPr>
            <w:r>
              <w:rPr>
                <w:sz w:val="16"/>
              </w:rPr>
              <w:t>0.727</w:t>
            </w:r>
          </w:p>
        </w:tc>
        <w:tc>
          <w:tcPr>
            <w:tcW w:type="dxa" w:w="680"/>
            <w:shd w:val="clear" w:color="auto" w:fill="F3F6FA"/>
          </w:tcPr>
          <w:p>
            <w:pPr>
              <w:spacing w:after="20" w:line="240" w:lineRule="auto"/>
            </w:pPr>
            <w:r>
              <w:rPr>
                <w:sz w:val="16"/>
              </w:rPr>
              <w:t>0.615</w:t>
            </w:r>
          </w:p>
        </w:tc>
        <w:tc>
          <w:tcPr>
            <w:tcW w:type="dxa" w:w="862"/>
            <w:shd w:val="clear" w:color="auto" w:fill="F3F6FA"/>
          </w:tcPr>
          <w:p>
            <w:pPr>
              <w:spacing w:after="20" w:line="240" w:lineRule="auto"/>
            </w:pPr>
            <w:r>
              <w:rPr>
                <w:sz w:val="16"/>
              </w:rPr>
              <w:t>0.917</w:t>
            </w:r>
          </w:p>
        </w:tc>
        <w:tc>
          <w:tcPr>
            <w:tcW w:type="dxa" w:w="680"/>
            <w:shd w:val="clear" w:color="auto" w:fill="F3F6FA"/>
          </w:tcPr>
          <w:p>
            <w:pPr>
              <w:spacing w:after="20" w:line="240" w:lineRule="auto"/>
            </w:pPr>
            <w:r>
              <w:rPr>
                <w:sz w:val="16"/>
              </w:rPr>
              <w:t>0.596</w:t>
            </w:r>
          </w:p>
        </w:tc>
        <w:tc>
          <w:tcPr>
            <w:tcW w:type="dxa" w:w="622"/>
            <w:shd w:val="clear" w:color="auto" w:fill="F3F6FA"/>
          </w:tcPr>
          <w:p>
            <w:pPr>
              <w:spacing w:after="20" w:line="240" w:lineRule="auto"/>
            </w:pPr>
            <w:r>
              <w:rPr>
                <w:sz w:val="16"/>
              </w:rPr>
              <w:t>0.826</w:t>
            </w:r>
          </w:p>
        </w:tc>
      </w:tr>
      <w:tr>
        <w:tc>
          <w:tcPr>
            <w:tcW w:type="dxa" w:w="1392"/>
          </w:tcPr>
          <w:p>
            <w:pPr>
              <w:spacing w:after="20" w:line="240" w:lineRule="auto"/>
            </w:pPr>
          </w:p>
        </w:tc>
        <w:tc>
          <w:tcPr>
            <w:tcW w:type="dxa" w:w="2068"/>
          </w:tcPr>
          <w:p>
            <w:pPr>
              <w:spacing w:after="20" w:line="240" w:lineRule="auto"/>
            </w:pPr>
            <w:r>
              <w:rPr>
                <w:sz w:val="16"/>
              </w:rPr>
              <w:t>Majority baseline</w:t>
            </w:r>
          </w:p>
        </w:tc>
        <w:tc>
          <w:tcPr>
            <w:tcW w:type="dxa" w:w="952"/>
          </w:tcPr>
          <w:p>
            <w:pPr>
              <w:spacing w:after="20" w:line="240" w:lineRule="auto"/>
            </w:pPr>
            <w:r>
              <w:rPr>
                <w:sz w:val="16"/>
              </w:rPr>
              <w:t>0.756</w:t>
            </w:r>
          </w:p>
        </w:tc>
        <w:tc>
          <w:tcPr>
            <w:tcW w:type="dxa" w:w="1043"/>
          </w:tcPr>
          <w:p>
            <w:pPr>
              <w:spacing w:after="20" w:line="240" w:lineRule="auto"/>
            </w:pPr>
            <w:r>
              <w:rPr>
                <w:sz w:val="16"/>
              </w:rPr>
              <w:t>–</w:t>
            </w:r>
          </w:p>
        </w:tc>
        <w:tc>
          <w:tcPr>
            <w:tcW w:type="dxa" w:w="771"/>
          </w:tcPr>
          <w:p>
            <w:pPr>
              <w:spacing w:after="20" w:line="240" w:lineRule="auto"/>
            </w:pPr>
            <w:r>
              <w:rPr>
                <w:sz w:val="16"/>
              </w:rPr>
              <w:t>0</w:t>
            </w:r>
          </w:p>
        </w:tc>
        <w:tc>
          <w:tcPr>
            <w:tcW w:type="dxa" w:w="680"/>
          </w:tcPr>
          <w:p>
            <w:pPr>
              <w:spacing w:after="20" w:line="240" w:lineRule="auto"/>
            </w:pPr>
            <w:r>
              <w:rPr>
                <w:sz w:val="16"/>
              </w:rPr>
              <w:t>0.000</w:t>
            </w:r>
          </w:p>
        </w:tc>
        <w:tc>
          <w:tcPr>
            <w:tcW w:type="dxa" w:w="862"/>
          </w:tcPr>
          <w:p>
            <w:pPr>
              <w:spacing w:after="20" w:line="240" w:lineRule="auto"/>
            </w:pPr>
            <w:r>
              <w:rPr>
                <w:sz w:val="16"/>
              </w:rPr>
              <w:t>–</w:t>
            </w:r>
          </w:p>
        </w:tc>
        <w:tc>
          <w:tcPr>
            <w:tcW w:type="dxa" w:w="680"/>
          </w:tcPr>
          <w:p>
            <w:pPr>
              <w:spacing w:after="20" w:line="240" w:lineRule="auto"/>
            </w:pPr>
            <w:r>
              <w:rPr>
                <w:sz w:val="16"/>
              </w:rPr>
              <w:t>–</w:t>
            </w:r>
          </w:p>
        </w:tc>
        <w:tc>
          <w:tcPr>
            <w:tcW w:type="dxa" w:w="622"/>
          </w:tcPr>
          <w:p>
            <w:pPr>
              <w:spacing w:after="20" w:line="240" w:lineRule="auto"/>
            </w:pPr>
            <w:r>
              <w:rPr>
                <w:sz w:val="16"/>
              </w:rPr>
              <w:t>–</w:t>
            </w:r>
          </w:p>
        </w:tc>
      </w:tr>
      <w:tr>
        <w:tc>
          <w:tcPr>
            <w:tcW w:type="dxa" w:w="1392"/>
            <w:shd w:val="clear" w:color="auto" w:fill="F3F6FA"/>
          </w:tcPr>
          <w:p>
            <w:pPr>
              <w:spacing w:after="20" w:line="240" w:lineRule="auto"/>
            </w:pPr>
            <w:r>
              <w:rPr>
                <w:sz w:val="16"/>
              </w:rPr>
              <w:t>Low critical thinking</w:t>
            </w:r>
          </w:p>
        </w:tc>
        <w:tc>
          <w:tcPr>
            <w:tcW w:type="dxa" w:w="2068"/>
            <w:shd w:val="clear" w:color="auto" w:fill="F3F6FA"/>
          </w:tcPr>
          <w:p>
            <w:pPr>
              <w:spacing w:after="20" w:line="240" w:lineRule="auto"/>
            </w:pPr>
            <w:r>
              <w:rPr>
                <w:sz w:val="16"/>
              </w:rPr>
              <w:t>Logistic Regression</w:t>
            </w:r>
          </w:p>
        </w:tc>
        <w:tc>
          <w:tcPr>
            <w:tcW w:type="dxa" w:w="952"/>
            <w:shd w:val="clear" w:color="auto" w:fill="F3F6FA"/>
          </w:tcPr>
          <w:p>
            <w:pPr>
              <w:spacing w:after="20" w:line="240" w:lineRule="auto"/>
            </w:pPr>
            <w:r>
              <w:rPr>
                <w:sz w:val="16"/>
              </w:rPr>
              <w:t>0.667</w:t>
            </w:r>
          </w:p>
        </w:tc>
        <w:tc>
          <w:tcPr>
            <w:tcW w:type="dxa" w:w="1043"/>
            <w:shd w:val="clear" w:color="auto" w:fill="F3F6FA"/>
          </w:tcPr>
          <w:p>
            <w:pPr>
              <w:spacing w:after="20" w:line="240" w:lineRule="auto"/>
            </w:pPr>
            <w:r>
              <w:rPr>
                <w:sz w:val="16"/>
              </w:rPr>
              <w:t>0.526</w:t>
            </w:r>
          </w:p>
        </w:tc>
        <w:tc>
          <w:tcPr>
            <w:tcW w:type="dxa" w:w="771"/>
            <w:shd w:val="clear" w:color="auto" w:fill="F3F6FA"/>
          </w:tcPr>
          <w:p>
            <w:pPr>
              <w:spacing w:after="20" w:line="240" w:lineRule="auto"/>
            </w:pPr>
            <w:r>
              <w:rPr>
                <w:sz w:val="16"/>
              </w:rPr>
              <w:t>0.625</w:t>
            </w:r>
          </w:p>
        </w:tc>
        <w:tc>
          <w:tcPr>
            <w:tcW w:type="dxa" w:w="680"/>
            <w:shd w:val="clear" w:color="auto" w:fill="F3F6FA"/>
          </w:tcPr>
          <w:p>
            <w:pPr>
              <w:spacing w:after="20" w:line="240" w:lineRule="auto"/>
            </w:pPr>
            <w:r>
              <w:rPr>
                <w:sz w:val="16"/>
              </w:rPr>
              <w:t>0.571</w:t>
            </w:r>
          </w:p>
        </w:tc>
        <w:tc>
          <w:tcPr>
            <w:tcW w:type="dxa" w:w="862"/>
            <w:shd w:val="clear" w:color="auto" w:fill="F3F6FA"/>
          </w:tcPr>
          <w:p>
            <w:pPr>
              <w:spacing w:after="20" w:line="240" w:lineRule="auto"/>
            </w:pPr>
            <w:r>
              <w:rPr>
                <w:sz w:val="16"/>
              </w:rPr>
              <w:t>0.767</w:t>
            </w:r>
          </w:p>
        </w:tc>
        <w:tc>
          <w:tcPr>
            <w:tcW w:type="dxa" w:w="680"/>
            <w:shd w:val="clear" w:color="auto" w:fill="F3F6FA"/>
          </w:tcPr>
          <w:p>
            <w:pPr>
              <w:spacing w:after="20" w:line="240" w:lineRule="auto"/>
            </w:pPr>
            <w:r>
              <w:rPr>
                <w:sz w:val="16"/>
              </w:rPr>
              <w:t>0.683</w:t>
            </w:r>
          </w:p>
        </w:tc>
        <w:tc>
          <w:tcPr>
            <w:tcW w:type="dxa" w:w="622"/>
            <w:shd w:val="clear" w:color="auto" w:fill="F3F6FA"/>
          </w:tcPr>
          <w:p>
            <w:pPr>
              <w:spacing w:after="20" w:line="240" w:lineRule="auto"/>
            </w:pPr>
            <w:r>
              <w:rPr>
                <w:sz w:val="16"/>
              </w:rPr>
              <w:t>0.821</w:t>
            </w:r>
          </w:p>
        </w:tc>
      </w:tr>
      <w:tr>
        <w:tc>
          <w:tcPr>
            <w:tcW w:type="dxa" w:w="1392"/>
          </w:tcPr>
          <w:p>
            <w:pPr>
              <w:spacing w:after="20" w:line="240" w:lineRule="auto"/>
            </w:pPr>
          </w:p>
        </w:tc>
        <w:tc>
          <w:tcPr>
            <w:tcW w:type="dxa" w:w="2068"/>
          </w:tcPr>
          <w:p>
            <w:pPr>
              <w:spacing w:after="20" w:line="240" w:lineRule="auto"/>
            </w:pPr>
            <w:r>
              <w:rPr>
                <w:b/>
                <w:sz w:val="16"/>
              </w:rPr>
              <w:t>Random Forest ★</w:t>
            </w:r>
          </w:p>
        </w:tc>
        <w:tc>
          <w:tcPr>
            <w:tcW w:type="dxa" w:w="952"/>
          </w:tcPr>
          <w:p>
            <w:pPr>
              <w:spacing w:after="20" w:line="240" w:lineRule="auto"/>
            </w:pPr>
            <w:r>
              <w:rPr>
                <w:b/>
                <w:sz w:val="16"/>
              </w:rPr>
              <w:t>0.733</w:t>
            </w:r>
          </w:p>
        </w:tc>
        <w:tc>
          <w:tcPr>
            <w:tcW w:type="dxa" w:w="1043"/>
          </w:tcPr>
          <w:p>
            <w:pPr>
              <w:spacing w:after="20" w:line="240" w:lineRule="auto"/>
            </w:pPr>
            <w:r>
              <w:rPr>
                <w:b/>
                <w:sz w:val="16"/>
              </w:rPr>
              <w:t>0.611</w:t>
            </w:r>
          </w:p>
        </w:tc>
        <w:tc>
          <w:tcPr>
            <w:tcW w:type="dxa" w:w="771"/>
          </w:tcPr>
          <w:p>
            <w:pPr>
              <w:spacing w:after="20" w:line="240" w:lineRule="auto"/>
            </w:pPr>
            <w:r>
              <w:rPr>
                <w:sz w:val="16"/>
              </w:rPr>
              <w:t>0.688</w:t>
            </w:r>
          </w:p>
        </w:tc>
        <w:tc>
          <w:tcPr>
            <w:tcW w:type="dxa" w:w="680"/>
          </w:tcPr>
          <w:p>
            <w:pPr>
              <w:spacing w:after="20" w:line="240" w:lineRule="auto"/>
            </w:pPr>
            <w:r>
              <w:rPr>
                <w:b/>
                <w:sz w:val="16"/>
              </w:rPr>
              <w:t>0.647</w:t>
            </w:r>
          </w:p>
        </w:tc>
        <w:tc>
          <w:tcPr>
            <w:tcW w:type="dxa" w:w="862"/>
          </w:tcPr>
          <w:p>
            <w:pPr>
              <w:spacing w:after="20" w:line="240" w:lineRule="auto"/>
            </w:pPr>
            <w:r>
              <w:rPr>
                <w:sz w:val="16"/>
              </w:rPr>
              <w:t>0.754</w:t>
            </w:r>
          </w:p>
        </w:tc>
        <w:tc>
          <w:tcPr>
            <w:tcW w:type="dxa" w:w="680"/>
          </w:tcPr>
          <w:p>
            <w:pPr>
              <w:spacing w:after="20" w:line="240" w:lineRule="auto"/>
            </w:pPr>
            <w:r>
              <w:rPr>
                <w:sz w:val="16"/>
              </w:rPr>
              <w:t>0.685</w:t>
            </w:r>
          </w:p>
        </w:tc>
        <w:tc>
          <w:tcPr>
            <w:tcW w:type="dxa" w:w="622"/>
          </w:tcPr>
          <w:p>
            <w:pPr>
              <w:spacing w:after="20" w:line="240" w:lineRule="auto"/>
            </w:pPr>
            <w:r>
              <w:rPr>
                <w:sz w:val="16"/>
              </w:rPr>
              <w:t>0.796</w:t>
            </w:r>
          </w:p>
        </w:tc>
      </w:tr>
      <w:tr>
        <w:tc>
          <w:tcPr>
            <w:tcW w:type="dxa" w:w="1392"/>
            <w:shd w:val="clear" w:color="auto" w:fill="F3F6FA"/>
          </w:tcPr>
          <w:p>
            <w:pPr>
              <w:spacing w:after="20" w:line="240" w:lineRule="auto"/>
            </w:pPr>
          </w:p>
        </w:tc>
        <w:tc>
          <w:tcPr>
            <w:tcW w:type="dxa" w:w="2068"/>
            <w:shd w:val="clear" w:color="auto" w:fill="F3F6FA"/>
          </w:tcPr>
          <w:p>
            <w:pPr>
              <w:spacing w:after="20" w:line="240" w:lineRule="auto"/>
            </w:pPr>
            <w:r>
              <w:rPr>
                <w:sz w:val="16"/>
              </w:rPr>
              <w:t>Majority baseline</w:t>
            </w:r>
          </w:p>
        </w:tc>
        <w:tc>
          <w:tcPr>
            <w:tcW w:type="dxa" w:w="952"/>
            <w:shd w:val="clear" w:color="auto" w:fill="F3F6FA"/>
          </w:tcPr>
          <w:p>
            <w:pPr>
              <w:spacing w:after="20" w:line="240" w:lineRule="auto"/>
            </w:pPr>
            <w:r>
              <w:rPr>
                <w:sz w:val="16"/>
              </w:rPr>
              <w:t>0.644</w:t>
            </w:r>
          </w:p>
        </w:tc>
        <w:tc>
          <w:tcPr>
            <w:tcW w:type="dxa" w:w="1043"/>
            <w:shd w:val="clear" w:color="auto" w:fill="F3F6FA"/>
          </w:tcPr>
          <w:p>
            <w:pPr>
              <w:spacing w:after="20" w:line="240" w:lineRule="auto"/>
            </w:pPr>
            <w:r>
              <w:rPr>
                <w:sz w:val="16"/>
              </w:rPr>
              <w:t>–</w:t>
            </w:r>
          </w:p>
        </w:tc>
        <w:tc>
          <w:tcPr>
            <w:tcW w:type="dxa" w:w="771"/>
            <w:shd w:val="clear" w:color="auto" w:fill="F3F6FA"/>
          </w:tcPr>
          <w:p>
            <w:pPr>
              <w:spacing w:after="20" w:line="240" w:lineRule="auto"/>
            </w:pPr>
            <w:r>
              <w:rPr>
                <w:sz w:val="16"/>
              </w:rPr>
              <w:t>0</w:t>
            </w:r>
          </w:p>
        </w:tc>
        <w:tc>
          <w:tcPr>
            <w:tcW w:type="dxa" w:w="680"/>
            <w:shd w:val="clear" w:color="auto" w:fill="F3F6FA"/>
          </w:tcPr>
          <w:p>
            <w:pPr>
              <w:spacing w:after="20" w:line="240" w:lineRule="auto"/>
            </w:pPr>
            <w:r>
              <w:rPr>
                <w:sz w:val="16"/>
              </w:rPr>
              <w:t>0.000</w:t>
            </w:r>
          </w:p>
        </w:tc>
        <w:tc>
          <w:tcPr>
            <w:tcW w:type="dxa" w:w="862"/>
            <w:shd w:val="clear" w:color="auto" w:fill="F3F6FA"/>
          </w:tcPr>
          <w:p>
            <w:pPr>
              <w:spacing w:after="20" w:line="240" w:lineRule="auto"/>
            </w:pPr>
            <w:r>
              <w:rPr>
                <w:sz w:val="16"/>
              </w:rPr>
              <w:t>–</w:t>
            </w:r>
          </w:p>
        </w:tc>
        <w:tc>
          <w:tcPr>
            <w:tcW w:type="dxa" w:w="680"/>
            <w:shd w:val="clear" w:color="auto" w:fill="F3F6FA"/>
          </w:tcPr>
          <w:p>
            <w:pPr>
              <w:spacing w:after="20" w:line="240" w:lineRule="auto"/>
            </w:pPr>
            <w:r>
              <w:rPr>
                <w:sz w:val="16"/>
              </w:rPr>
              <w:t>–</w:t>
            </w:r>
          </w:p>
        </w:tc>
        <w:tc>
          <w:tcPr>
            <w:tcW w:type="dxa" w:w="622"/>
            <w:shd w:val="clear" w:color="auto" w:fill="F3F6FA"/>
          </w:tcPr>
          <w:p>
            <w:pPr>
              <w:spacing w:after="20" w:line="240" w:lineRule="auto"/>
            </w:pPr>
            <w:r>
              <w:rPr>
                <w:sz w:val="16"/>
              </w:rPr>
              <w:t>–</w:t>
            </w:r>
          </w:p>
        </w:tc>
      </w:tr>
    </w:tbl>
    <w:p>
      <w:pPr>
        <w:spacing w:after="40"/>
      </w:pPr>
    </w:p>
    <w:p>
      <w:r>
        <w:rPr>
          <w:b/>
        </w:rPr>
        <w:t>Interpretation.</w:t>
      </w:r>
      <w:r>
        <w:t xml:space="preserve"> Both targets beat the baseline clearly. Low attention is easier to predict because screen time and sleep add signal beyond offloading. Critical thinking depends more on unobserved ability and information literacy, so precision is moderate. The low-attention LR finds every at-risk student in the test set (recall 1.0) at the cost of 7 false alarms. For a screening aid this trade-off is acceptable, since a false alarm only triggers a follow-up test.</w:t>
      </w:r>
    </w:p>
    <w:p>
      <w:pPr>
        <w:keepNext/>
        <w:jc w:val="center"/>
      </w:pPr>
      <w:r>
        <w:drawing>
          <wp:inline xmlns:a="http://schemas.openxmlformats.org/drawingml/2006/main" xmlns:pic="http://schemas.openxmlformats.org/drawingml/2006/picture">
            <wp:extent cx="4320000" cy="2093762"/>
            <wp:docPr id="22" name="Picture 22"/>
            <wp:cNvGraphicFramePr>
              <a:graphicFrameLocks noChangeAspect="1"/>
            </wp:cNvGraphicFramePr>
            <a:graphic>
              <a:graphicData uri="http://schemas.openxmlformats.org/drawingml/2006/picture">
                <pic:pic>
                  <pic:nvPicPr>
                    <pic:cNvPr id="0" name="fig_confusion.png"/>
                    <pic:cNvPicPr/>
                  </pic:nvPicPr>
                  <pic:blipFill>
                    <a:blip r:embed="rId31"/>
                    <a:stretch>
                      <a:fillRect/>
                    </a:stretch>
                  </pic:blipFill>
                  <pic:spPr>
                    <a:xfrm>
                      <a:off x="0" y="0"/>
                      <a:ext cx="4320000" cy="2093762"/>
                    </a:xfrm>
                    <a:prstGeom prst="rect"/>
                  </pic:spPr>
                </pic:pic>
              </a:graphicData>
            </a:graphic>
          </wp:inline>
        </w:drawing>
      </w:r>
    </w:p>
    <w:p>
      <w:pPr>
        <w:pStyle w:val="Caption"/>
        <w:jc w:val="center"/>
      </w:pPr>
      <w:r>
        <w:t>Fig. 20.1 Confusion matrices of the selected models (hold-out test set, n = 45)</w:t>
      </w:r>
    </w:p>
    <w:p>
      <w:pPr>
        <w:pStyle w:val="Heading1"/>
      </w:pPr>
      <w:r>
        <w:t>21. Testing &amp; Validation</w:t>
      </w:r>
    </w:p>
    <w:p>
      <w:pPr>
        <w:keepNext/>
        <w:spacing w:before="120"/>
      </w:pPr>
      <w:r>
        <w:rPr>
          <w:b/>
        </w:rPr>
        <w:t>Testing methodology</w:t>
      </w:r>
    </w:p>
    <w:p>
      <w:pPr>
        <w:pStyle w:val="ListBullet"/>
        <w:spacing w:after="60"/>
      </w:pPr>
      <w:r>
        <w:rPr>
          <w:i/>
        </w:rPr>
        <w:t>Unit tests:</w:t>
      </w:r>
      <w:r>
        <w:t xml:space="preserve"> reverse coding of the offloading score (all-minimum = 1.0, all-maximum = 5.0), partial composites with missing items, CT total and flags, critical r for n = 12 = 0.576 (matches the thesis).</w:t>
      </w:r>
    </w:p>
    <w:p>
      <w:pPr>
        <w:pStyle w:val="ListBullet"/>
        <w:spacing w:after="60"/>
      </w:pPr>
      <w:r>
        <w:rPr>
          <w:i/>
        </w:rPr>
        <w:t>Integration tests</w:t>
      </w:r>
      <w:r>
        <w:t xml:space="preserve"> (Flask test client): all 11 pages and endpoints return 200; full create → update → delete cycle with derived values checked; range validation rejects Luria = 15; API prediction for a high-offloading profile returns P(low CT) &gt; 0.5.</w:t>
      </w:r>
    </w:p>
    <w:p>
      <w:pPr>
        <w:pStyle w:val="ListBullet"/>
        <w:spacing w:after="60"/>
      </w:pPr>
      <w:r>
        <w:rPr>
          <w:i/>
        </w:rPr>
        <w:t>Result:</w:t>
      </w:r>
      <w:r>
        <w:t xml:space="preserve"> </w:t>
      </w:r>
      <w:r>
        <w:rPr>
          <w:rFonts w:ascii="Consolas" w:hAnsi="Consolas"/>
          <w:sz w:val="20"/>
        </w:rPr>
        <w:t>python -m unittest discover -s tests</w:t>
      </w:r>
      <w:r>
        <w:t xml:space="preserve"> runs 8 tests, all passing.</w:t>
      </w:r>
    </w:p>
    <w:p>
      <w:pPr>
        <w:pStyle w:val="ListBullet"/>
        <w:spacing w:after="60"/>
      </w:pPr>
      <w:r>
        <w:rPr>
          <w:i/>
        </w:rPr>
        <w:t>Manual UI testing:</w:t>
      </w:r>
      <w:r>
        <w:t xml:space="preserve"> filters (including empty results with fewer than 5 records), pagination, edit with invalid values, delete confirmation.</w:t>
      </w:r>
    </w:p>
    <w:p>
      <w:pPr>
        <w:pStyle w:val="ListBullet"/>
        <w:spacing w:after="60"/>
      </w:pPr>
      <w:r>
        <w:rPr>
          <w:i/>
        </w:rPr>
        <w:t>Model validation:</w:t>
      </w:r>
      <w:r>
        <w:t xml:space="preserve"> stratified hold-out plus 5-fold stratified CV.</w:t>
      </w:r>
    </w:p>
    <w:p>
      <w:r>
        <w:rPr>
          <w:b/>
        </w:rPr>
        <w:t>Accuracy, precision, recall, F1:</w:t>
      </w:r>
      <w:r>
        <w:t xml:space="preserve"> see §20. The at-risk class is the positive class.</w:t>
      </w:r>
    </w:p>
    <w:p>
      <w:pPr>
        <w:keepNext/>
        <w:spacing w:before="120"/>
      </w:pPr>
      <w:r>
        <w:rPr>
          <w:b/>
        </w:rPr>
        <w:t>Error analysis.</w:t>
      </w:r>
    </w:p>
    <w:p>
      <w:pPr>
        <w:pStyle w:val="ListBullet"/>
        <w:spacing w:after="60"/>
      </w:pPr>
      <w:r>
        <w:rPr>
          <w:i/>
        </w:rPr>
        <w:t>Low attention (LR):</w:t>
      </w:r>
      <w:r>
        <w:t xml:space="preserve"> 0 false negatives and 7 false positives. The false positives are mostly students with high screen time but high latent ability, who score well despite their habits. This is the "strategic stronger user" effect described in thesis §4.5.</w:t>
      </w:r>
    </w:p>
    <w:p>
      <w:pPr>
        <w:pStyle w:val="ListBullet"/>
        <w:spacing w:after="60"/>
      </w:pPr>
      <w:r>
        <w:rPr>
          <w:i/>
        </w:rPr>
        <w:t>Low CT (RF):</w:t>
      </w:r>
      <w:r>
        <w:t xml:space="preserve"> 5 false negatives. These are students with a reflective AI profile who still score low, likely because of reading or language difficulty (cf. thesis Student 7, 0/8). The questionnaire cannot capture this, so test data remain necessary.</w:t>
      </w:r>
    </w:p>
    <w:p>
      <w:pPr>
        <w:pStyle w:val="ListBullet"/>
        <w:spacing w:after="60"/>
      </w:pPr>
      <w:r>
        <w:t>The gap between hold-out F1 (0.76) and CV F1 (0.66) for low attention shows variance from the small test set. Report the CV value as the conservative estimate.</w:t>
      </w:r>
    </w:p>
    <w:p>
      <w:pPr>
        <w:pStyle w:val="Heading1"/>
      </w:pPr>
      <w:r>
        <w:t>22. Impact on Society / Business</w:t>
      </w:r>
    </w:p>
    <w:p>
      <w:pPr>
        <w:pStyle w:val="ListBullet"/>
        <w:spacing w:after="60"/>
      </w:pPr>
      <w:r>
        <w:rPr>
          <w:b/>
        </w:rPr>
        <w:t>Social impact:</w:t>
      </w:r>
      <w:r>
        <w:t xml:space="preserve"> supports balanced AI use in schools; helps teachers spot students drifting into passive AI dependence early; operationalises the thesis's "think first, then verify with AI" recommendation.</w:t>
      </w:r>
    </w:p>
    <w:p>
      <w:pPr>
        <w:pStyle w:val="ListBullet"/>
        <w:spacing w:after="60"/>
      </w:pPr>
      <w:r>
        <w:rPr>
          <w:b/>
        </w:rPr>
        <w:t>Business value:</w:t>
      </w:r>
      <w:r>
        <w:t xml:space="preserve"> a low-cost analytics module for schools and EdTech providers. The same approach (questionnaire, short cognitive tasks, risk model) carries over to HR and team management, to monitor AI-reliance effects on employees' decision quality, which is the business-management relevance named in the thesis.</w:t>
      </w:r>
    </w:p>
    <w:p>
      <w:pPr>
        <w:pStyle w:val="ListBullet"/>
        <w:spacing w:after="60"/>
      </w:pPr>
      <w:r>
        <w:rPr>
          <w:b/>
        </w:rPr>
        <w:t>Research contribution:</w:t>
      </w:r>
      <w:r>
        <w:t xml:space="preserve"> a reproducible open pipeline and power-analysis evidence (critical r 0.576 vs 0.146) for the planned 40–50+ student follow-up; a baseline for the Baltic lower-secondary gap identified in the literature.</w:t>
      </w:r>
    </w:p>
    <w:p>
      <w:pPr>
        <w:pStyle w:val="ListBullet"/>
        <w:spacing w:after="60"/>
      </w:pPr>
      <w:r>
        <w:rPr>
          <w:b/>
        </w:rPr>
        <w:t>User benefits:</w:t>
      </w:r>
      <w:r>
        <w:t xml:space="preserve"> teachers get data-driven, explainable insights; school leaders get cohort KPIs for AI policy; parents get concrete recommendations (screen time under 2 h/day).</w:t>
      </w:r>
    </w:p>
    <w:p>
      <w:pPr>
        <w:pStyle w:val="Heading1"/>
      </w:pPr>
      <w:r>
        <w:t>23. Future Scope</w:t>
      </w:r>
    </w:p>
    <w:p>
      <w:pPr>
        <w:pStyle w:val="ListBullet"/>
        <w:spacing w:after="60"/>
      </w:pPr>
      <w:r>
        <w:rPr>
          <w:b/>
        </w:rPr>
        <w:t>Future improvements:</w:t>
      </w:r>
      <w:r>
        <w:t xml:space="preserve"> collect real data (with consent) and re-validate; normalised multi-table schema with longitudinal surveys; authentication and RBAC; PDF reports per class.</w:t>
      </w:r>
    </w:p>
    <w:p>
      <w:pPr>
        <w:pStyle w:val="ListBullet"/>
        <w:spacing w:after="60"/>
      </w:pPr>
      <w:r>
        <w:rPr>
          <w:b/>
        </w:rPr>
        <w:t>AI enhancements:</w:t>
      </w:r>
      <w:r>
        <w:t xml:space="preserve"> SHAP explanations per student; gradient boosting and calibrated probabilities; mediation analysis (AI use → offloading → CT) following Gerlich (2025); NLP on open-ended answers; digital versions of the Schulte and Digit Span tests that capture reaction times.</w:t>
      </w:r>
    </w:p>
    <w:p>
      <w:pPr>
        <w:pStyle w:val="ListBullet"/>
        <w:spacing w:after="60"/>
      </w:pPr>
      <w:r>
        <w:rPr>
          <w:b/>
        </w:rPr>
        <w:t>Cloud integration:</w:t>
      </w:r>
      <w:r>
        <w:t xml:space="preserve"> Docker image; deploy to Render or Azure App Service with PostgreSQL; scheduled retraining; integration with the Moodle API.</w:t>
      </w:r>
    </w:p>
    <w:p>
      <w:pPr>
        <w:pStyle w:val="ListBullet"/>
        <w:spacing w:after="60"/>
      </w:pPr>
      <w:r>
        <w:rPr>
          <w:b/>
        </w:rPr>
        <w:t>Scalability:</w:t>
      </w:r>
      <w:r>
        <w:t xml:space="preserve"> multi-school tenancy, a caching layer, front-end charts (Plotly/Chart.js), background training jobs.</w:t>
      </w:r>
    </w:p>
    <w:p>
      <w:pPr>
        <w:pStyle w:val="Heading1"/>
      </w:pPr>
      <w:r>
        <w:t>24. Conclusion</w:t>
      </w:r>
    </w:p>
    <w:p>
      <w:r>
        <w:rPr>
          <w:b/>
        </w:rPr>
        <w:t>Achievements.</w:t>
      </w:r>
      <w:r>
        <w:t xml:space="preserve"> The Master's thesis methodology was turned into a full data-science product: data model, thesis-calibrated dataset, SQLite storage with CRUD, statistical analysis, two validated ML risk models and an interactive dashboard, with tests and documentation.</w:t>
      </w:r>
    </w:p>
    <w:p>
      <w:r>
        <w:rPr>
          <w:b/>
        </w:rPr>
        <w:t>Learning outcomes.</w:t>
      </w:r>
      <w:r>
        <w:t xml:space="preserve"> End-to-end pipeline design; reverse-coded composite scales; leakage-safe scikit-learn pipelines; choosing metrics for imbalanced, cost-asymmetric problems; Flask web development; communicating uncertainty about synthetic data honestly.</w:t>
      </w:r>
    </w:p>
    <w:p>
      <w:r>
        <w:rPr>
          <w:b/>
        </w:rPr>
        <w:t>Key contributions.</w:t>
      </w:r>
      <w:r>
        <w:t xml:space="preserve"> (1) An automated AI Offloading Composite and attention index; (2) a demonstration that the thesis hypothesis becomes testable at N ≈ 180 (r ≈ −0.5 to −0.6, d ≈ −0.8); (3) a screening model that uses questionnaire answers only (F1 0.76 / 0.65); (4) a ready-to-use tool for the follow-up study.</w:t>
      </w:r>
    </w:p>
    <w:p>
      <w:r>
        <w:rPr>
          <w:b/>
        </w:rPr>
        <w:t>Final observations.</w:t>
      </w:r>
      <w:r>
        <w:t xml:space="preserve"> The real thesis data (n = 12) showed mostly reflective AI use and no significant negative link. The simulation shows what a properly powered study could detect if the literature's effect sizes hold. The tool is the bridge between the two: it is ready to replace synthetic data with real, consented data from the next cohort.</w:t>
      </w:r>
    </w:p>
    <w:p>
      <w:pPr>
        <w:pStyle w:val="Heading1"/>
      </w:pPr>
      <w:r>
        <w:t>25. References</w:t>
      </w:r>
    </w:p>
    <w:p>
      <w:pPr>
        <w:keepNext/>
        <w:spacing w:before="120"/>
      </w:pPr>
      <w:r>
        <w:rPr>
          <w:b/>
        </w:rPr>
        <w:t>Research papers and reports (from the thesis bibliography)</w:t>
      </w:r>
    </w:p>
    <w:p>
      <w:pPr>
        <w:pStyle w:val="ListNumber"/>
        <w:numPr>
          <w:ilvl w:val="0"/>
          <w:numId w:val="14"/>
        </w:numPr>
        <w:spacing w:after="60"/>
      </w:pPr>
      <w:r>
        <w:t>Ansari, A., &amp; Qamari, I. N. (2025). The role of artificial intelligence in cognitive learning outcomes: benefits, risks, and recommendations.</w:t>
      </w:r>
    </w:p>
    <w:p>
      <w:pPr>
        <w:pStyle w:val="ListNumber"/>
        <w:numPr>
          <w:ilvl w:val="0"/>
          <w:numId w:val="14"/>
        </w:numPr>
        <w:spacing w:after="60"/>
      </w:pPr>
      <w:r>
        <w:t>Clemente-Suarez, V. J., Bustamante-Sanchez, A., Tornero-Aguilera, J. F., &amp; Ruisoto, P. (2024). Digital device use and cognition in school-age children.</w:t>
      </w:r>
    </w:p>
    <w:p>
      <w:pPr>
        <w:pStyle w:val="ListNumber"/>
        <w:numPr>
          <w:ilvl w:val="0"/>
          <w:numId w:val="14"/>
        </w:numPr>
        <w:spacing w:after="60"/>
      </w:pPr>
      <w:r>
        <w:t xml:space="preserve">European Commission. (2025). </w:t>
      </w:r>
      <w:r>
        <w:rPr>
          <w:i/>
        </w:rPr>
        <w:t>Education and Training Monitor 2025: Latvia.</w:t>
      </w:r>
      <w:r>
        <w:t xml:space="preserve"> Publications Office of the EU.</w:t>
      </w:r>
    </w:p>
    <w:p>
      <w:pPr>
        <w:pStyle w:val="ListNumber"/>
        <w:numPr>
          <w:ilvl w:val="0"/>
          <w:numId w:val="14"/>
        </w:numPr>
        <w:spacing w:after="60"/>
      </w:pPr>
      <w:r>
        <w:t xml:space="preserve">Gerlich, M. (2025). AI tools in society: Impacts on cognitive offloading and the future of critical thinking. </w:t>
      </w:r>
      <w:r>
        <w:rPr>
          <w:i/>
        </w:rPr>
        <w:t>Societies, 15</w:t>
      </w:r>
      <w:r>
        <w:t>(1), 6.</w:t>
      </w:r>
    </w:p>
    <w:p>
      <w:pPr>
        <w:pStyle w:val="ListNumber"/>
        <w:numPr>
          <w:ilvl w:val="0"/>
          <w:numId w:val="14"/>
        </w:numPr>
        <w:spacing w:after="60"/>
      </w:pPr>
      <w:r>
        <w:t xml:space="preserve">IEA. (2023). </w:t>
      </w:r>
      <w:r>
        <w:rPr>
          <w:i/>
        </w:rPr>
        <w:t>ICILS 2023 International Report.</w:t>
      </w:r>
    </w:p>
    <w:p>
      <w:pPr>
        <w:pStyle w:val="ListNumber"/>
        <w:numPr>
          <w:ilvl w:val="0"/>
          <w:numId w:val="14"/>
        </w:numPr>
        <w:spacing w:after="60"/>
      </w:pPr>
      <w:r>
        <w:t>Kundu, A., &amp; Bej, T. (2025). Psychological impacts of artificial intelligence on school students.</w:t>
      </w:r>
    </w:p>
    <w:p>
      <w:pPr>
        <w:pStyle w:val="ListNumber"/>
        <w:numPr>
          <w:ilvl w:val="0"/>
          <w:numId w:val="14"/>
        </w:numPr>
        <w:spacing w:after="60"/>
      </w:pPr>
      <w:r>
        <w:t>Leonhardt, M., Danielsen, A. G., &amp; Andersen, P. L. M. (2025). Screen time and concentration difficulties in children and adolescents.</w:t>
      </w:r>
    </w:p>
    <w:p>
      <w:pPr>
        <w:pStyle w:val="ListNumber"/>
        <w:numPr>
          <w:ilvl w:val="0"/>
          <w:numId w:val="14"/>
        </w:numPr>
        <w:spacing w:after="60"/>
      </w:pPr>
      <w:r>
        <w:t xml:space="preserve">OECD. (2023). </w:t>
      </w:r>
      <w:r>
        <w:rPr>
          <w:i/>
        </w:rPr>
        <w:t>PISA 2022 Results (Volume I): The State of Learning and Equity in Education.</w:t>
      </w:r>
      <w:r>
        <w:t xml:space="preserve"> OECD Publishing.</w:t>
      </w:r>
    </w:p>
    <w:p>
      <w:pPr>
        <w:pStyle w:val="ListNumber"/>
        <w:numPr>
          <w:ilvl w:val="0"/>
          <w:numId w:val="14"/>
        </w:numPr>
        <w:spacing w:after="60"/>
      </w:pPr>
      <w:r>
        <w:t>Peng, H., &amp; Yeh, Y. C. (2025). Cognitive offloading and trust toward AI tools.</w:t>
      </w:r>
    </w:p>
    <w:p>
      <w:pPr>
        <w:pStyle w:val="ListNumber"/>
        <w:numPr>
          <w:ilvl w:val="0"/>
          <w:numId w:val="14"/>
        </w:numPr>
        <w:spacing w:after="60"/>
      </w:pPr>
      <w:r>
        <w:t xml:space="preserve">Risko, E. F., &amp; Gilbert, S. J. (2016). Cognitive offloading. </w:t>
      </w:r>
      <w:r>
        <w:rPr>
          <w:i/>
        </w:rPr>
        <w:t>Trends in Cognitive Sciences, 20</w:t>
      </w:r>
      <w:r>
        <w:t>(9), 676–688.</w:t>
      </w:r>
    </w:p>
    <w:p>
      <w:pPr>
        <w:pStyle w:val="ListNumber"/>
        <w:numPr>
          <w:ilvl w:val="0"/>
          <w:numId w:val="14"/>
        </w:numPr>
        <w:spacing w:after="60"/>
      </w:pPr>
      <w:r>
        <w:t>Sina, E., et al. (2024). Digital media use and cognitive functioning in European children (I.Family cohort).</w:t>
      </w:r>
    </w:p>
    <w:p>
      <w:pPr>
        <w:pStyle w:val="ListNumber"/>
        <w:numPr>
          <w:ilvl w:val="0"/>
          <w:numId w:val="14"/>
        </w:numPr>
        <w:spacing w:after="60"/>
      </w:pPr>
      <w:r>
        <w:t>Tian, X., &amp; Zhang, J. (2025). AI dependence, cognitive fatigue, and critical thinking.</w:t>
      </w:r>
    </w:p>
    <w:p>
      <w:pPr>
        <w:pStyle w:val="ListNumber"/>
        <w:numPr>
          <w:ilvl w:val="0"/>
          <w:numId w:val="14"/>
        </w:numPr>
        <w:spacing w:after="60"/>
      </w:pPr>
      <w:r>
        <w:t xml:space="preserve">Vedechkina, M., &amp; Borgonovi, F. (2021). A review of evidence on the role of digital technology in shaping attention and cognitive control in children. </w:t>
      </w:r>
      <w:r>
        <w:rPr>
          <w:i/>
        </w:rPr>
        <w:t>Frontiers in Psychology, 12</w:t>
      </w:r>
      <w:r>
        <w:t>, 611155.</w:t>
      </w:r>
    </w:p>
    <w:p>
      <w:pPr>
        <w:pStyle w:val="ListNumber"/>
        <w:numPr>
          <w:ilvl w:val="0"/>
          <w:numId w:val="14"/>
        </w:numPr>
        <w:spacing w:after="60"/>
      </w:pPr>
      <w:r>
        <w:t xml:space="preserve">Zhai, C., Wibowo, S., &amp; Li, L. D. (2024). The effects of over-reliance on AI dialogue systems on students' cognitive abilities: a systematic review. </w:t>
      </w:r>
      <w:r>
        <w:rPr>
          <w:i/>
        </w:rPr>
        <w:t>Smart Learning Environments, 11</w:t>
      </w:r>
      <w:r>
        <w:t>, 28.</w:t>
      </w:r>
    </w:p>
    <w:p>
      <w:pPr>
        <w:keepNext/>
        <w:spacing w:before="120"/>
      </w:pPr>
      <w:r>
        <w:rPr>
          <w:b/>
        </w:rPr>
        <w:t>Books and instruments</w:t>
      </w:r>
    </w:p>
    <w:p>
      <w:pPr>
        <w:pStyle w:val="ListNumber"/>
        <w:numPr>
          <w:ilvl w:val="0"/>
          <w:numId w:val="15"/>
        </w:numPr>
        <w:spacing w:after="60"/>
      </w:pPr>
      <w:r>
        <w:t xml:space="preserve">Luria, A. R. (1973). </w:t>
      </w:r>
      <w:r>
        <w:rPr>
          <w:i/>
        </w:rPr>
        <w:t>The Working Brain.</w:t>
      </w:r>
      <w:r>
        <w:t xml:space="preserve"> Penguin. (10 Words Test)</w:t>
      </w:r>
    </w:p>
    <w:p>
      <w:pPr>
        <w:pStyle w:val="ListNumber"/>
        <w:numPr>
          <w:ilvl w:val="0"/>
          <w:numId w:val="15"/>
        </w:numPr>
        <w:spacing w:after="60"/>
      </w:pPr>
      <w:r>
        <w:t xml:space="preserve">Wechsler, D. (2014). </w:t>
      </w:r>
      <w:r>
        <w:rPr>
          <w:i/>
        </w:rPr>
        <w:t>WISC-V Technical Manual.</w:t>
      </w:r>
      <w:r>
        <w:t xml:space="preserve"> Pearson. (Digit Span)</w:t>
      </w:r>
    </w:p>
    <w:p>
      <w:pPr>
        <w:pStyle w:val="ListNumber"/>
        <w:numPr>
          <w:ilvl w:val="0"/>
          <w:numId w:val="15"/>
        </w:numPr>
        <w:spacing w:after="60"/>
      </w:pPr>
      <w:r>
        <w:t xml:space="preserve">Halpern, D. F. (2010). </w:t>
      </w:r>
      <w:r>
        <w:rPr>
          <w:i/>
        </w:rPr>
        <w:t>Halpern Critical Thinking Assessment.</w:t>
      </w:r>
      <w:r>
        <w:t xml:space="preserve"> Schuhfried.</w:t>
      </w:r>
    </w:p>
    <w:p>
      <w:pPr>
        <w:pStyle w:val="ListNumber"/>
        <w:numPr>
          <w:ilvl w:val="0"/>
          <w:numId w:val="15"/>
        </w:numPr>
        <w:spacing w:after="60"/>
      </w:pPr>
      <w:r>
        <w:t xml:space="preserve">Mishchenko, O. (2026). </w:t>
      </w:r>
      <w:r>
        <w:rPr>
          <w:i/>
        </w:rPr>
        <w:t>Use of AI Tools and Cognitive Offloading among 8th and 9th Grade Students: Associations with Attention and Critical Thinking in a Latvian International School.</w:t>
      </w:r>
      <w:r>
        <w:t xml:space="preserve"> Master's thesis, Riga Nordic University.</w:t>
      </w:r>
    </w:p>
    <w:p>
      <w:pPr>
        <w:keepNext/>
        <w:spacing w:before="120"/>
      </w:pPr>
      <w:r>
        <w:rPr>
          <w:b/>
        </w:rPr>
        <w:t>Documentation, datasets and APIs</w:t>
      </w:r>
    </w:p>
    <w:p>
      <w:pPr>
        <w:pStyle w:val="ListNumber"/>
        <w:numPr>
          <w:ilvl w:val="0"/>
          <w:numId w:val="16"/>
        </w:numPr>
        <w:spacing w:after="60"/>
      </w:pPr>
      <w:r>
        <w:t xml:space="preserve">Pedregosa, F., et al. (2011). Scikit-learn: Machine learning in Python. </w:t>
      </w:r>
      <w:r>
        <w:rPr>
          <w:i/>
        </w:rPr>
        <w:t>JMLR, 12</w:t>
      </w:r>
      <w:r>
        <w:t>, 2825–2830.</w:t>
      </w:r>
    </w:p>
    <w:p>
      <w:pPr>
        <w:pStyle w:val="ListNumber"/>
        <w:numPr>
          <w:ilvl w:val="0"/>
          <w:numId w:val="16"/>
        </w:numPr>
        <w:spacing w:after="60"/>
      </w:pPr>
      <w:r>
        <w:t>Flask documentation, https://flask.palletsprojects.com/</w:t>
      </w:r>
    </w:p>
    <w:p>
      <w:pPr>
        <w:pStyle w:val="ListNumber"/>
        <w:numPr>
          <w:ilvl w:val="0"/>
          <w:numId w:val="16"/>
        </w:numPr>
        <w:spacing w:after="60"/>
      </w:pPr>
      <w:r>
        <w:t>pandas documentation, https://pandas.pydata.org/docs/</w:t>
      </w:r>
    </w:p>
    <w:p>
      <w:pPr>
        <w:pStyle w:val="ListNumber"/>
        <w:numPr>
          <w:ilvl w:val="0"/>
          <w:numId w:val="16"/>
        </w:numPr>
        <w:spacing w:after="60"/>
      </w:pPr>
      <w:r>
        <w:t>SciPy documentation (scipy.stats), https://docs.scipy.org/doc/scipy/</w:t>
      </w:r>
    </w:p>
    <w:p>
      <w:pPr>
        <w:pStyle w:val="ListNumber"/>
        <w:numPr>
          <w:ilvl w:val="0"/>
          <w:numId w:val="16"/>
        </w:numPr>
        <w:spacing w:after="60"/>
      </w:pPr>
      <w:r>
        <w:t>SQLite documentation, https://www.sqlite.org/docs.html</w:t>
      </w:r>
    </w:p>
    <w:p>
      <w:pPr>
        <w:pStyle w:val="ListNumber"/>
        <w:numPr>
          <w:ilvl w:val="0"/>
          <w:numId w:val="16"/>
        </w:numPr>
        <w:spacing w:after="60"/>
      </w:pPr>
      <w:r>
        <w:t xml:space="preserve">Dataset: </w:t>
      </w:r>
      <w:r>
        <w:rPr>
          <w:rFonts w:ascii="Consolas" w:hAnsi="Consolas"/>
          <w:sz w:val="20"/>
        </w:rPr>
        <w:t>data/ai_offloading_students.csv</w:t>
      </w:r>
      <w:r>
        <w:t xml:space="preserve"> (synthetic, this project) and </w:t>
      </w:r>
      <w:r>
        <w:rPr>
          <w:rFonts w:ascii="Consolas" w:hAnsi="Consolas"/>
          <w:sz w:val="20"/>
        </w:rPr>
        <w:t>data/thesis_reference_n12.csv</w:t>
      </w:r>
      <w:r>
        <w:t xml:space="preserve"> (thesis Tables 4.4 and 4.6).</w:t>
      </w:r>
    </w:p>
    <w:sectPr w:rsidR="00FC693F" w:rsidRPr="0006063C" w:rsidSect="00034616">
      <w:footerReference w:type="default" r:id="rId9"/>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Oleg Mishchenko · Programming for Data Science · Riga Nordic University    |    Page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Calibri" w:hAnsi="Calibri" w:eastAsia="Calibri" w:cs="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Calibri" w:hAnsi="Calibri" w:eastAsia="Calibri" w:cs="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cs="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AI-Use &amp; Cognitive Offloading Analytics</dc:title>
  <dc:subject>Programming for Data Science – Mini Project</dc:subject>
  <dc:creator>Oleg Mishchenko</dc:creator>
  <cp:keywords/>
  <dc:description>generated by python-docx</dc:description>
  <cp:lastModifiedBy/>
  <cp:revision>1</cp:revision>
  <dcterms:created xsi:type="dcterms:W3CDTF">2013-12-23T23:15:00Z</dcterms:created>
  <dcterms:modified xsi:type="dcterms:W3CDTF">2013-12-23T23:15:00Z</dcterms:modified>
  <cp:category/>
</cp:coreProperties>
</file>