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048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"EqMat"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• Srep-3 :- Create a parameterized constructor to initialize the instance variable int m, n and a[][] with mm, nn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and a[][] with m and n.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"readArray()"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the elements of the arrays.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boolean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"check(EqMat p, EqMat q)"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if the elements of the array are equal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or not.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"print()"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print a matrix.</w:t>
      </w:r>
    </w:p>
    <w:p>
      <w:pPr>
        <w:autoSpaceDN w:val="0"/>
        <w:autoSpaceDE w:val="0"/>
        <w:widowControl/>
        <w:spacing w:line="245" w:lineRule="auto" w:before="0" w:after="0"/>
        <w:ind w:left="506" w:right="28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user input the rows and columns for the matrixes and create two object for two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matrixes and take input in those two matrix and print both matrixes and check if they are equal or not and print </w:t>
      </w:r>
      <w:r>
        <w:rPr>
          <w:rFonts w:ascii="Alata" w:hAnsi="Alata" w:eastAsia="Alata"/>
          <w:b w:val="0"/>
          <w:i w:val="0"/>
          <w:color w:val="000000"/>
          <w:sz w:val="20"/>
        </w:rPr>
        <w:t>a appropriate message.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8" w:after="248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85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129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mm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no. of 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no. of 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Constructor parameter for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no. of 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Constructor parameter for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no. of 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matrix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rows and n 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in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readArray(), check(EqMat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p, EqMat q), and print()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in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readArray(), check(EqMat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p, EqMat q), and print()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user input of rows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user input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columns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48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22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a[][]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65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016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8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072" w:right="86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columns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864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36" w:bottom="1440" w:left="856" w:header="720" w:footer="720" w:gutter="0"/>
          <w:cols w:space="720" w:num="1" w:equalWidth="0">
            <w:col w:w="105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24220" cy="896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8961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440" w:bottom="208" w:left="864" w:header="720" w:footer="720" w:gutter="0"/>
      <w:cols w:space="720" w:num="1" w:equalWidth="0">
        <w:col w:w="9936" w:space="0"/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