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B4" w:rsidRPr="00B554B4" w:rsidRDefault="00B554B4" w:rsidP="00B554B4">
      <w:pPr>
        <w:autoSpaceDE w:val="0"/>
        <w:autoSpaceDN w:val="0"/>
        <w:adjustRightInd w:val="0"/>
        <w:spacing w:after="0" w:line="240" w:lineRule="auto"/>
        <w:rPr>
          <w:rFonts w:ascii="CMBX12" w:hAnsi="CMBX12" w:cs="CMBX12"/>
          <w:sz w:val="50"/>
          <w:szCs w:val="50"/>
        </w:rPr>
      </w:pPr>
      <w:r>
        <w:rPr>
          <w:rFonts w:ascii="CMBX12" w:hAnsi="CMBX12" w:cs="CMBX12"/>
          <w:sz w:val="50"/>
          <w:szCs w:val="50"/>
        </w:rPr>
        <w:t>Evaluación Económica del Proyecto</w:t>
      </w:r>
    </w:p>
    <w:p w:rsidR="00B554B4" w:rsidRDefault="00B554B4" w:rsidP="00B554B4">
      <w:pPr>
        <w:autoSpaceDE w:val="0"/>
        <w:autoSpaceDN w:val="0"/>
        <w:adjustRightInd w:val="0"/>
        <w:spacing w:after="0" w:line="240" w:lineRule="auto"/>
        <w:rPr>
          <w:rFonts w:ascii="CMR12" w:hAnsi="CMR12" w:cs="CMR12"/>
          <w:sz w:val="24"/>
          <w:szCs w:val="24"/>
        </w:rPr>
      </w:pPr>
    </w:p>
    <w:p w:rsidR="00B554B4" w:rsidRDefault="00B554B4" w:rsidP="00B554B4">
      <w:pPr>
        <w:autoSpaceDE w:val="0"/>
        <w:autoSpaceDN w:val="0"/>
        <w:adjustRightInd w:val="0"/>
        <w:spacing w:after="0" w:line="240" w:lineRule="auto"/>
        <w:rPr>
          <w:rFonts w:ascii="CMR12" w:hAnsi="CMR12" w:cs="CMR12"/>
          <w:sz w:val="24"/>
          <w:szCs w:val="24"/>
        </w:rPr>
      </w:pPr>
    </w:p>
    <w:p w:rsidR="003E2B6F" w:rsidRDefault="00B554B4" w:rsidP="0064187E">
      <w:pPr>
        <w:jc w:val="both"/>
      </w:pPr>
      <w:r>
        <w:t>En esta sección realizaremos la identificación, medición y valoración de los costos y beneficios del proyecto. Evaluaremos la alternativa seleccionada. Los costos de los proyectos de informática son relativamente simples de cuantificar no así los beneficios que se presentan como ahorro de costos con respecto a la situación base, siendo particularmente compleja la estimación de las horas hombre liberadas. Por otra parte este tipo de proyectos tiene costos y beneficios intangibles u ocultos los cuales se deberán describir en forma cualitativa.</w:t>
      </w:r>
    </w:p>
    <w:p w:rsidR="00B554B4" w:rsidRDefault="00B554B4" w:rsidP="004453E5"/>
    <w:p w:rsidR="00B554B4" w:rsidRDefault="00B554B4" w:rsidP="004453E5">
      <w:r>
        <w:t>Costo</w:t>
      </w:r>
      <w:r w:rsidR="0060042F">
        <w:t xml:space="preserve"> -</w:t>
      </w:r>
      <w:r>
        <w:t xml:space="preserve"> beneficio</w:t>
      </w:r>
    </w:p>
    <w:p w:rsidR="00B554B4" w:rsidRDefault="0060042F" w:rsidP="0064187E">
      <w:pPr>
        <w:jc w:val="both"/>
      </w:pPr>
      <w:r>
        <w:t>Dado que este no es un proyecto con fines comerciales, sino que podemos encasillarlo en un proyecto meramente educativo, es complejo realizar una correcta determinación de los costos de implementación y los beneficios.</w:t>
      </w:r>
    </w:p>
    <w:p w:rsidR="0060042F" w:rsidRDefault="0060042F" w:rsidP="0064187E">
      <w:pPr>
        <w:jc w:val="both"/>
      </w:pPr>
      <w:r>
        <w:t xml:space="preserve">Intentaremos estimar con el </w:t>
      </w:r>
      <w:r w:rsidR="00B03413">
        <w:t>mínimo</w:t>
      </w:r>
      <w:r>
        <w:t xml:space="preserve"> error estos valores pero siempre enfocándonos en el beneficio que obtendrá la facultad al optar por esta solución.</w:t>
      </w:r>
    </w:p>
    <w:p w:rsidR="00B03413" w:rsidRDefault="00B03413" w:rsidP="0060042F">
      <w:pPr>
        <w:autoSpaceDE w:val="0"/>
        <w:autoSpaceDN w:val="0"/>
        <w:adjustRightInd w:val="0"/>
        <w:spacing w:after="0" w:line="240" w:lineRule="auto"/>
        <w:rPr>
          <w:rFonts w:ascii="CMR12" w:hAnsi="CMR12" w:cs="CMR12"/>
          <w:sz w:val="24"/>
          <w:szCs w:val="24"/>
        </w:rPr>
      </w:pPr>
    </w:p>
    <w:p w:rsidR="00B03413" w:rsidRDefault="00B03413" w:rsidP="0060042F">
      <w:pPr>
        <w:autoSpaceDE w:val="0"/>
        <w:autoSpaceDN w:val="0"/>
        <w:adjustRightInd w:val="0"/>
        <w:spacing w:after="0" w:line="240" w:lineRule="auto"/>
        <w:rPr>
          <w:rFonts w:ascii="CMR12" w:hAnsi="CMR12" w:cs="CMR12"/>
          <w:sz w:val="24"/>
          <w:szCs w:val="24"/>
        </w:rPr>
        <w:sectPr w:rsidR="00B03413" w:rsidSect="00D35063">
          <w:pgSz w:w="12240" w:h="15840"/>
          <w:pgMar w:top="1440" w:right="1440" w:bottom="1440" w:left="1440" w:header="708" w:footer="708" w:gutter="0"/>
          <w:cols w:space="708"/>
          <w:docGrid w:linePitch="360"/>
        </w:sectPr>
      </w:pPr>
    </w:p>
    <w:p w:rsidR="0060042F" w:rsidRDefault="0060042F" w:rsidP="0060042F">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 xml:space="preserve">      </w:t>
      </w:r>
      <w:r w:rsidRPr="0060042F">
        <w:rPr>
          <w:rFonts w:ascii="CMR12" w:hAnsi="CMR12" w:cs="CMR12"/>
          <w:sz w:val="24"/>
          <w:szCs w:val="24"/>
        </w:rPr>
        <w:t>Evaluación de costos.</w:t>
      </w:r>
    </w:p>
    <w:p w:rsidR="000B3BD8" w:rsidRDefault="000B3BD8" w:rsidP="00B554B4">
      <w:pPr>
        <w:autoSpaceDE w:val="0"/>
        <w:autoSpaceDN w:val="0"/>
        <w:adjustRightInd w:val="0"/>
        <w:spacing w:after="0" w:line="240" w:lineRule="auto"/>
      </w:pPr>
    </w:p>
    <w:tbl>
      <w:tblPr>
        <w:tblStyle w:val="MediumGrid3-Accent1"/>
        <w:tblW w:w="13008" w:type="dxa"/>
        <w:jc w:val="center"/>
        <w:tblLook w:val="04A0"/>
      </w:tblPr>
      <w:tblGrid>
        <w:gridCol w:w="2802"/>
        <w:gridCol w:w="2219"/>
        <w:gridCol w:w="1250"/>
        <w:gridCol w:w="870"/>
        <w:gridCol w:w="902"/>
        <w:gridCol w:w="870"/>
        <w:gridCol w:w="673"/>
        <w:gridCol w:w="870"/>
        <w:gridCol w:w="723"/>
        <w:gridCol w:w="870"/>
        <w:gridCol w:w="959"/>
      </w:tblGrid>
      <w:tr w:rsidR="00346635" w:rsidRPr="00B5200B" w:rsidTr="00346635">
        <w:trPr>
          <w:cnfStyle w:val="100000000000"/>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1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p>
        </w:tc>
        <w:tc>
          <w:tcPr>
            <w:tcW w:w="1772"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1</w:t>
            </w:r>
          </w:p>
        </w:tc>
        <w:tc>
          <w:tcPr>
            <w:tcW w:w="1543"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2</w:t>
            </w:r>
          </w:p>
        </w:tc>
        <w:tc>
          <w:tcPr>
            <w:tcW w:w="1593"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3</w:t>
            </w:r>
          </w:p>
        </w:tc>
        <w:tc>
          <w:tcPr>
            <w:tcW w:w="1829" w:type="dxa"/>
            <w:gridSpan w:val="2"/>
            <w:noWrap/>
            <w:hideMark/>
          </w:tcPr>
          <w:p w:rsidR="00B5200B" w:rsidRPr="00B5200B" w:rsidRDefault="00B5200B" w:rsidP="00B5200B">
            <w:pPr>
              <w:jc w:val="center"/>
              <w:cnfStyle w:val="1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MES 4</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Tipo</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Detalle</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 unitario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Cantidad</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Costo</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INTEL DG 33 TLM</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roofErr w:type="spellStart"/>
            <w:r w:rsidRPr="00B5200B">
              <w:rPr>
                <w:rFonts w:ascii="Calibri" w:eastAsia="Times New Roman" w:hAnsi="Calibri" w:cs="Times New Roman"/>
                <w:color w:val="000000"/>
                <w:sz w:val="18"/>
                <w:szCs w:val="18"/>
                <w:lang w:eastAsia="es-AR"/>
              </w:rPr>
              <w:t>MotherBoard</w:t>
            </w:r>
            <w:proofErr w:type="spellEnd"/>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170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340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INTEL DUAL CORE 2.40 GHZ E2220</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Procesador</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96</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192</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KINGSTON DDR2 2G 800 MHZ</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Memoria RAM </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50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200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ST373307LC 10K 73.4 GB</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Disco Rígido</w:t>
            </w:r>
          </w:p>
        </w:tc>
        <w:tc>
          <w:tcPr>
            <w:tcW w:w="1250" w:type="dxa"/>
            <w:noWrap/>
            <w:hideMark/>
          </w:tcPr>
          <w:p w:rsidR="00B5200B" w:rsidRPr="00B5200B" w:rsidRDefault="00B5200B" w:rsidP="00B5200B">
            <w:pPr>
              <w:jc w:val="center"/>
              <w:cnfStyle w:val="000000100000"/>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88</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176</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SFX SATA COOLER 500W</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Fuente de alimentación</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40</w:t>
            </w:r>
          </w:p>
        </w:tc>
        <w:tc>
          <w:tcPr>
            <w:tcW w:w="870" w:type="dxa"/>
            <w:noWrap/>
            <w:hideMark/>
          </w:tcPr>
          <w:p w:rsidR="00B5200B" w:rsidRPr="00B5200B" w:rsidRDefault="00B5200B" w:rsidP="00B5200B">
            <w:pPr>
              <w:jc w:val="center"/>
              <w:cnfStyle w:val="000000000000"/>
              <w:rPr>
                <w:rFonts w:ascii="Times New Roman" w:eastAsia="Times New Roman" w:hAnsi="Times New Roman" w:cs="Times New Roman"/>
                <w:b/>
                <w:bCs/>
                <w:color w:val="000000"/>
                <w:sz w:val="18"/>
                <w:szCs w:val="18"/>
                <w:lang w:eastAsia="es-AR"/>
              </w:rPr>
            </w:pPr>
            <w:r w:rsidRPr="00B5200B">
              <w:rPr>
                <w:rFonts w:ascii="Times New Roman" w:eastAsia="Times New Roman" w:hAnsi="Times New Roman" w:cs="Times New Roman"/>
                <w:b/>
                <w:bCs/>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 xml:space="preserve">DVD-RW 20X SONY BLACK </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Unidad grabadora</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24</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48</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GABINETE 2 unidades de rack NUMATA</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Gabinete</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38</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76</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r w:rsidRPr="00B5200B">
              <w:rPr>
                <w:rFonts w:ascii="Times New Roman" w:eastAsia="Times New Roman" w:hAnsi="Times New Roman" w:cs="Times New Roman"/>
                <w:color w:val="000000"/>
                <w:sz w:val="18"/>
                <w:szCs w:val="18"/>
                <w:lang w:eastAsia="es-AR"/>
              </w:rPr>
              <w:t>UPS</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UPS</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Times New Roman" w:eastAsia="Times New Roman" w:hAnsi="Times New Roman" w:cs="Times New Roman"/>
                <w:color w:val="000000"/>
                <w:sz w:val="18"/>
                <w:szCs w:val="18"/>
                <w:lang w:eastAsia="es-AR"/>
              </w:rPr>
            </w:pPr>
            <w:bookmarkStart w:id="0" w:name="RANGE!C12"/>
            <w:proofErr w:type="spellStart"/>
            <w:r w:rsidRPr="00B5200B">
              <w:rPr>
                <w:rFonts w:ascii="Times New Roman" w:eastAsia="Times New Roman" w:hAnsi="Times New Roman" w:cs="Times New Roman"/>
                <w:color w:val="000000"/>
                <w:sz w:val="18"/>
                <w:szCs w:val="18"/>
                <w:lang w:eastAsia="es-AR"/>
              </w:rPr>
              <w:t>Digium</w:t>
            </w:r>
            <w:proofErr w:type="spellEnd"/>
            <w:r w:rsidRPr="00B5200B">
              <w:rPr>
                <w:rFonts w:ascii="Times New Roman" w:eastAsia="Times New Roman" w:hAnsi="Times New Roman" w:cs="Times New Roman"/>
                <w:color w:val="000000"/>
                <w:sz w:val="18"/>
                <w:szCs w:val="18"/>
                <w:lang w:eastAsia="es-AR"/>
              </w:rPr>
              <w:t xml:space="preserve"> </w:t>
            </w:r>
            <w:proofErr w:type="spellStart"/>
            <w:r w:rsidRPr="00B5200B">
              <w:rPr>
                <w:rFonts w:ascii="Times New Roman" w:eastAsia="Times New Roman" w:hAnsi="Times New Roman" w:cs="Times New Roman"/>
                <w:color w:val="000000"/>
                <w:sz w:val="18"/>
                <w:szCs w:val="18"/>
                <w:lang w:eastAsia="es-AR"/>
              </w:rPr>
              <w:t>Wildcard</w:t>
            </w:r>
            <w:proofErr w:type="spellEnd"/>
            <w:r w:rsidRPr="00B5200B">
              <w:rPr>
                <w:rFonts w:ascii="Times New Roman" w:eastAsia="Times New Roman" w:hAnsi="Times New Roman" w:cs="Times New Roman"/>
                <w:color w:val="000000"/>
                <w:sz w:val="18"/>
                <w:szCs w:val="18"/>
                <w:lang w:eastAsia="es-AR"/>
              </w:rPr>
              <w:t xml:space="preserve"> TE205P</w:t>
            </w:r>
            <w:bookmarkEnd w:id="0"/>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Placa de interconexión</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800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1600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SPA922 </w:t>
            </w: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Terminal para usuario</w:t>
            </w: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120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30</w:t>
            </w: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3600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400</w:t>
            </w: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48000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GXP2020 </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Terminal para operadores</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160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320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Bastidor o Rack</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1500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1500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Costo de </w:t>
            </w:r>
            <w:r w:rsidRPr="00B5200B">
              <w:rPr>
                <w:rFonts w:ascii="Calibri" w:eastAsia="Times New Roman" w:hAnsi="Calibri" w:cs="Times New Roman"/>
                <w:b w:val="0"/>
                <w:bCs w:val="0"/>
                <w:color w:val="000000"/>
                <w:sz w:val="18"/>
                <w:szCs w:val="18"/>
                <w:lang w:eastAsia="es-AR"/>
              </w:rPr>
              <w:t>nacionalización</w:t>
            </w: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Aproximadamente 17 %</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1375,64</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8160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0</w:t>
            </w:r>
          </w:p>
        </w:tc>
      </w:tr>
      <w:tr w:rsidR="00346635" w:rsidRPr="00B5200B" w:rsidTr="00346635">
        <w:trPr>
          <w:trHeight w:val="30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510"/>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 xml:space="preserve">Mantenimiento </w:t>
            </w:r>
          </w:p>
        </w:tc>
        <w:tc>
          <w:tcPr>
            <w:tcW w:w="2219" w:type="dxa"/>
            <w:hideMark/>
          </w:tcPr>
          <w:p w:rsidR="00B5200B" w:rsidRPr="00B5200B" w:rsidRDefault="00B5200B" w:rsidP="00B5200B">
            <w:pP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Personas necesarias para</w:t>
            </w:r>
            <w:r w:rsidRPr="00B5200B">
              <w:rPr>
                <w:rFonts w:ascii="Calibri" w:eastAsia="Times New Roman" w:hAnsi="Calibri" w:cs="Times New Roman"/>
                <w:color w:val="000000"/>
                <w:sz w:val="18"/>
                <w:szCs w:val="18"/>
                <w:lang w:eastAsia="es-AR"/>
              </w:rPr>
              <w:br/>
              <w:t xml:space="preserve"> el mantenimiento</w:t>
            </w:r>
          </w:p>
        </w:tc>
        <w:tc>
          <w:tcPr>
            <w:tcW w:w="125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1100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02"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67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723"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w:t>
            </w:r>
          </w:p>
        </w:tc>
        <w:tc>
          <w:tcPr>
            <w:tcW w:w="959" w:type="dxa"/>
            <w:noWrap/>
            <w:hideMark/>
          </w:tcPr>
          <w:p w:rsidR="00B5200B" w:rsidRPr="00B5200B" w:rsidRDefault="00B5200B" w:rsidP="00B5200B">
            <w:pPr>
              <w:jc w:val="center"/>
              <w:cnfStyle w:val="000000100000"/>
              <w:rPr>
                <w:rFonts w:ascii="Calibri" w:eastAsia="Times New Roman" w:hAnsi="Calibri" w:cs="Times New Roman"/>
                <w:color w:val="000000"/>
                <w:sz w:val="18"/>
                <w:szCs w:val="18"/>
                <w:lang w:eastAsia="es-AR"/>
              </w:rPr>
            </w:pPr>
            <w:r w:rsidRPr="00B5200B">
              <w:rPr>
                <w:rFonts w:ascii="Calibri" w:eastAsia="Times New Roman" w:hAnsi="Calibri" w:cs="Times New Roman"/>
                <w:color w:val="000000"/>
                <w:sz w:val="18"/>
                <w:szCs w:val="18"/>
                <w:lang w:eastAsia="es-AR"/>
              </w:rPr>
              <w:t>2200</w:t>
            </w:r>
          </w:p>
        </w:tc>
      </w:tr>
      <w:tr w:rsidR="00346635" w:rsidRPr="00B5200B" w:rsidTr="00346635">
        <w:trPr>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sz w:val="18"/>
                <w:szCs w:val="18"/>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sz w:val="18"/>
                <w:szCs w:val="18"/>
                <w:lang w:eastAsia="es-AR"/>
              </w:rPr>
            </w:pPr>
          </w:p>
        </w:tc>
      </w:tr>
      <w:tr w:rsidR="003F04AE" w:rsidRPr="00B5200B" w:rsidTr="00346635">
        <w:trPr>
          <w:cnfStyle w:val="000000100000"/>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sz w:val="18"/>
                <w:szCs w:val="18"/>
                <w:lang w:eastAsia="es-AR"/>
              </w:rPr>
            </w:pPr>
          </w:p>
        </w:tc>
        <w:tc>
          <w:tcPr>
            <w:tcW w:w="2219" w:type="dxa"/>
            <w:noWrap/>
            <w:hideMark/>
          </w:tcPr>
          <w:p w:rsidR="00B5200B" w:rsidRPr="00B5200B" w:rsidRDefault="00B5200B" w:rsidP="00B5200B">
            <w:pPr>
              <w:cnfStyle w:val="000000100000"/>
              <w:rPr>
                <w:rFonts w:ascii="Calibri" w:eastAsia="Times New Roman" w:hAnsi="Calibri" w:cs="Times New Roman"/>
                <w:color w:val="000000"/>
                <w:sz w:val="18"/>
                <w:szCs w:val="18"/>
                <w:lang w:eastAsia="es-AR"/>
              </w:rPr>
            </w:pPr>
          </w:p>
        </w:tc>
        <w:tc>
          <w:tcPr>
            <w:tcW w:w="2120" w:type="dxa"/>
            <w:gridSpan w:val="2"/>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TOTALES</w:t>
            </w:r>
          </w:p>
        </w:tc>
        <w:tc>
          <w:tcPr>
            <w:tcW w:w="902"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11667,64</w:t>
            </w:r>
          </w:p>
        </w:tc>
        <w:tc>
          <w:tcPr>
            <w:tcW w:w="870"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 </w:t>
            </w:r>
          </w:p>
        </w:tc>
        <w:tc>
          <w:tcPr>
            <w:tcW w:w="673"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58360</w:t>
            </w:r>
          </w:p>
        </w:tc>
        <w:tc>
          <w:tcPr>
            <w:tcW w:w="870"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 </w:t>
            </w:r>
          </w:p>
        </w:tc>
        <w:tc>
          <w:tcPr>
            <w:tcW w:w="723"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2200</w:t>
            </w:r>
          </w:p>
        </w:tc>
        <w:tc>
          <w:tcPr>
            <w:tcW w:w="870"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 </w:t>
            </w:r>
          </w:p>
        </w:tc>
        <w:tc>
          <w:tcPr>
            <w:tcW w:w="959" w:type="dxa"/>
            <w:noWrap/>
            <w:hideMark/>
          </w:tcPr>
          <w:p w:rsidR="00B5200B" w:rsidRPr="00B5200B" w:rsidRDefault="00B5200B" w:rsidP="00B5200B">
            <w:pPr>
              <w:jc w:val="center"/>
              <w:cnfStyle w:val="000000100000"/>
              <w:rPr>
                <w:rFonts w:ascii="Calibri" w:eastAsia="Times New Roman" w:hAnsi="Calibri" w:cs="Times New Roman"/>
                <w:b/>
                <w:bCs/>
                <w:color w:val="000000"/>
                <w:sz w:val="18"/>
                <w:szCs w:val="18"/>
                <w:lang w:eastAsia="es-AR"/>
              </w:rPr>
            </w:pPr>
            <w:r w:rsidRPr="00B5200B">
              <w:rPr>
                <w:rFonts w:ascii="Calibri" w:eastAsia="Times New Roman" w:hAnsi="Calibri" w:cs="Times New Roman"/>
                <w:b/>
                <w:bCs/>
                <w:color w:val="000000"/>
                <w:sz w:val="18"/>
                <w:szCs w:val="18"/>
                <w:lang w:eastAsia="es-AR"/>
              </w:rPr>
              <w:t>2200</w:t>
            </w:r>
          </w:p>
        </w:tc>
      </w:tr>
      <w:tr w:rsidR="00346635" w:rsidRPr="00B5200B" w:rsidTr="00346635">
        <w:trPr>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lang w:eastAsia="es-AR"/>
              </w:rPr>
            </w:pPr>
          </w:p>
        </w:tc>
        <w:tc>
          <w:tcPr>
            <w:tcW w:w="2219" w:type="dxa"/>
            <w:noWrap/>
            <w:hideMark/>
          </w:tcPr>
          <w:p w:rsidR="00B5200B" w:rsidRPr="00B5200B" w:rsidRDefault="00B5200B" w:rsidP="00B5200B">
            <w:pPr>
              <w:cnfStyle w:val="000000000000"/>
              <w:rPr>
                <w:rFonts w:ascii="Calibri" w:eastAsia="Times New Roman" w:hAnsi="Calibri" w:cs="Times New Roman"/>
                <w:color w:val="000000"/>
                <w:lang w:eastAsia="es-AR"/>
              </w:rPr>
            </w:pPr>
          </w:p>
        </w:tc>
        <w:tc>
          <w:tcPr>
            <w:tcW w:w="125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902"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673"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723"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870"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c>
          <w:tcPr>
            <w:tcW w:w="959" w:type="dxa"/>
            <w:noWrap/>
            <w:hideMark/>
          </w:tcPr>
          <w:p w:rsidR="00B5200B" w:rsidRPr="00B5200B" w:rsidRDefault="00B5200B" w:rsidP="00B5200B">
            <w:pPr>
              <w:jc w:val="center"/>
              <w:cnfStyle w:val="000000000000"/>
              <w:rPr>
                <w:rFonts w:ascii="Calibri" w:eastAsia="Times New Roman" w:hAnsi="Calibri" w:cs="Times New Roman"/>
                <w:color w:val="000000"/>
                <w:lang w:eastAsia="es-AR"/>
              </w:rPr>
            </w:pPr>
          </w:p>
        </w:tc>
      </w:tr>
      <w:tr w:rsidR="00B5200B" w:rsidRPr="00B5200B" w:rsidTr="00346635">
        <w:trPr>
          <w:cnfStyle w:val="000000100000"/>
          <w:trHeight w:val="315"/>
          <w:jc w:val="center"/>
        </w:trPr>
        <w:tc>
          <w:tcPr>
            <w:cnfStyle w:val="001000000000"/>
            <w:tcW w:w="2802" w:type="dxa"/>
            <w:noWrap/>
            <w:hideMark/>
          </w:tcPr>
          <w:p w:rsidR="00B5200B" w:rsidRPr="00B5200B" w:rsidRDefault="00B5200B" w:rsidP="00B5200B">
            <w:pPr>
              <w:rPr>
                <w:rFonts w:ascii="Calibri" w:eastAsia="Times New Roman" w:hAnsi="Calibri" w:cs="Times New Roman"/>
                <w:color w:val="000000"/>
                <w:lang w:eastAsia="es-AR"/>
              </w:rPr>
            </w:pPr>
          </w:p>
        </w:tc>
        <w:tc>
          <w:tcPr>
            <w:tcW w:w="2219" w:type="dxa"/>
            <w:noWrap/>
            <w:hideMark/>
          </w:tcPr>
          <w:p w:rsidR="00B5200B" w:rsidRPr="00B5200B" w:rsidRDefault="00B5200B" w:rsidP="00B5200B">
            <w:pPr>
              <w:cnfStyle w:val="000000100000"/>
              <w:rPr>
                <w:rFonts w:ascii="Calibri" w:eastAsia="Times New Roman" w:hAnsi="Calibri" w:cs="Times New Roman"/>
                <w:color w:val="000000"/>
                <w:lang w:eastAsia="es-AR"/>
              </w:rPr>
            </w:pPr>
          </w:p>
        </w:tc>
        <w:tc>
          <w:tcPr>
            <w:tcW w:w="6158" w:type="dxa"/>
            <w:gridSpan w:val="7"/>
            <w:noWrap/>
            <w:hideMark/>
          </w:tcPr>
          <w:p w:rsidR="00B5200B" w:rsidRPr="00B5200B" w:rsidRDefault="00B5200B" w:rsidP="00B5200B">
            <w:pPr>
              <w:jc w:val="center"/>
              <w:cnfStyle w:val="000000100000"/>
              <w:rPr>
                <w:rFonts w:ascii="Calibri" w:eastAsia="Times New Roman" w:hAnsi="Calibri" w:cs="Times New Roman"/>
                <w:b/>
                <w:bCs/>
                <w:color w:val="000000"/>
                <w:lang w:eastAsia="es-AR"/>
              </w:rPr>
            </w:pPr>
            <w:r w:rsidRPr="00B5200B">
              <w:rPr>
                <w:rFonts w:ascii="Calibri" w:eastAsia="Times New Roman" w:hAnsi="Calibri" w:cs="Times New Roman"/>
                <w:b/>
                <w:bCs/>
                <w:color w:val="000000"/>
                <w:lang w:eastAsia="es-AR"/>
              </w:rPr>
              <w:t>Costo total del proyecto en dólares</w:t>
            </w:r>
          </w:p>
        </w:tc>
        <w:tc>
          <w:tcPr>
            <w:tcW w:w="1829" w:type="dxa"/>
            <w:gridSpan w:val="2"/>
            <w:noWrap/>
            <w:hideMark/>
          </w:tcPr>
          <w:p w:rsidR="00B5200B" w:rsidRPr="00B5200B" w:rsidRDefault="00346635" w:rsidP="00B5200B">
            <w:pPr>
              <w:jc w:val="center"/>
              <w:cnfStyle w:val="000000100000"/>
              <w:rPr>
                <w:rFonts w:ascii="Calibri" w:eastAsia="Times New Roman" w:hAnsi="Calibri" w:cs="Times New Roman"/>
                <w:b/>
                <w:color w:val="000000"/>
                <w:lang w:eastAsia="es-AR"/>
              </w:rPr>
            </w:pPr>
            <w:r>
              <w:rPr>
                <w:rFonts w:ascii="Calibri" w:eastAsia="Times New Roman" w:hAnsi="Calibri" w:cs="Times New Roman"/>
                <w:b/>
                <w:color w:val="000000"/>
                <w:lang w:eastAsia="es-AR"/>
              </w:rPr>
              <w:t xml:space="preserve">U$S  </w:t>
            </w:r>
            <w:r w:rsidR="00B5200B" w:rsidRPr="00B5200B">
              <w:rPr>
                <w:rFonts w:ascii="Calibri" w:eastAsia="Times New Roman" w:hAnsi="Calibri" w:cs="Times New Roman"/>
                <w:b/>
                <w:color w:val="000000"/>
                <w:lang w:eastAsia="es-AR"/>
              </w:rPr>
              <w:t>74</w:t>
            </w:r>
            <w:r>
              <w:rPr>
                <w:rFonts w:ascii="Calibri" w:eastAsia="Times New Roman" w:hAnsi="Calibri" w:cs="Times New Roman"/>
                <w:b/>
                <w:color w:val="000000"/>
                <w:lang w:eastAsia="es-AR"/>
              </w:rPr>
              <w:t>.</w:t>
            </w:r>
            <w:r w:rsidR="00B5200B" w:rsidRPr="00B5200B">
              <w:rPr>
                <w:rFonts w:ascii="Calibri" w:eastAsia="Times New Roman" w:hAnsi="Calibri" w:cs="Times New Roman"/>
                <w:b/>
                <w:color w:val="000000"/>
                <w:lang w:eastAsia="es-AR"/>
              </w:rPr>
              <w:t>427,64</w:t>
            </w:r>
          </w:p>
        </w:tc>
      </w:tr>
    </w:tbl>
    <w:p w:rsidR="00B03413" w:rsidRDefault="00B03413" w:rsidP="00B554B4">
      <w:pPr>
        <w:autoSpaceDE w:val="0"/>
        <w:autoSpaceDN w:val="0"/>
        <w:adjustRightInd w:val="0"/>
        <w:spacing w:after="0" w:line="240" w:lineRule="auto"/>
      </w:pPr>
    </w:p>
    <w:p w:rsidR="00B03413" w:rsidRDefault="00B03413" w:rsidP="00B554B4">
      <w:pPr>
        <w:autoSpaceDE w:val="0"/>
        <w:autoSpaceDN w:val="0"/>
        <w:adjustRightInd w:val="0"/>
        <w:spacing w:after="0" w:line="240" w:lineRule="auto"/>
        <w:sectPr w:rsidR="00B03413" w:rsidSect="00B03413">
          <w:pgSz w:w="15840" w:h="12240" w:orient="landscape"/>
          <w:pgMar w:top="1440" w:right="1440" w:bottom="1440" w:left="1440" w:header="708" w:footer="708" w:gutter="0"/>
          <w:cols w:space="708"/>
          <w:docGrid w:linePitch="360"/>
        </w:sectPr>
      </w:pPr>
    </w:p>
    <w:p w:rsidR="00A05238" w:rsidRDefault="00A05238" w:rsidP="00B554B4">
      <w:pPr>
        <w:autoSpaceDE w:val="0"/>
        <w:autoSpaceDN w:val="0"/>
        <w:adjustRightInd w:val="0"/>
        <w:spacing w:after="0" w:line="240" w:lineRule="auto"/>
      </w:pPr>
      <w:r>
        <w:lastRenderedPageBreak/>
        <w:t>BENEFICIOS:</w:t>
      </w:r>
    </w:p>
    <w:p w:rsidR="00A05238" w:rsidRDefault="00A05238" w:rsidP="00B554B4">
      <w:pPr>
        <w:autoSpaceDE w:val="0"/>
        <w:autoSpaceDN w:val="0"/>
        <w:adjustRightInd w:val="0"/>
        <w:spacing w:after="0" w:line="240" w:lineRule="auto"/>
      </w:pPr>
    </w:p>
    <w:p w:rsidR="00A05238" w:rsidRDefault="00A05238" w:rsidP="0064187E">
      <w:pPr>
        <w:autoSpaceDE w:val="0"/>
        <w:autoSpaceDN w:val="0"/>
        <w:adjustRightInd w:val="0"/>
        <w:spacing w:after="0" w:line="240" w:lineRule="auto"/>
        <w:jc w:val="both"/>
      </w:pPr>
      <w:r>
        <w:t>Para calcular los beneficios de la elección de esta solución armamos una tabla donde discriminamos entre beneficios tangibles e intangibles. Calculamos una inflación</w:t>
      </w:r>
      <w:r w:rsidR="00E6610F">
        <w:t xml:space="preserve"> anual del 17</w:t>
      </w:r>
      <w:r>
        <w:t xml:space="preserve"> %, según </w:t>
      </w:r>
      <w:r w:rsidR="00E6610F">
        <w:t>el INDEC para 2010 estima una</w:t>
      </w:r>
      <w:r>
        <w:t xml:space="preserve"> inflación del </w:t>
      </w:r>
      <w:r w:rsidR="00E6610F">
        <w:t>15</w:t>
      </w:r>
      <w:r>
        <w:t xml:space="preserve"> % pero para evaluar un caso peor asumimos este error.</w:t>
      </w:r>
    </w:p>
    <w:p w:rsidR="00A05238" w:rsidRDefault="00A05238" w:rsidP="00B554B4">
      <w:pPr>
        <w:autoSpaceDE w:val="0"/>
        <w:autoSpaceDN w:val="0"/>
        <w:adjustRightInd w:val="0"/>
        <w:spacing w:after="0" w:line="240" w:lineRule="auto"/>
      </w:pPr>
    </w:p>
    <w:p w:rsidR="00A05238" w:rsidRDefault="00A05238" w:rsidP="00B554B4">
      <w:pPr>
        <w:autoSpaceDE w:val="0"/>
        <w:autoSpaceDN w:val="0"/>
        <w:adjustRightInd w:val="0"/>
        <w:spacing w:after="0" w:line="240" w:lineRule="auto"/>
      </w:pPr>
    </w:p>
    <w:tbl>
      <w:tblPr>
        <w:tblStyle w:val="MediumShading1-Accent11"/>
        <w:tblW w:w="10517" w:type="dxa"/>
        <w:jc w:val="center"/>
        <w:tblLook w:val="04A0"/>
      </w:tblPr>
      <w:tblGrid>
        <w:gridCol w:w="1335"/>
        <w:gridCol w:w="3309"/>
        <w:gridCol w:w="939"/>
        <w:gridCol w:w="939"/>
        <w:gridCol w:w="852"/>
        <w:gridCol w:w="852"/>
        <w:gridCol w:w="852"/>
        <w:gridCol w:w="1439"/>
      </w:tblGrid>
      <w:tr w:rsidR="00346635" w:rsidRPr="00B5200B" w:rsidTr="00346635">
        <w:trPr>
          <w:cnfStyle w:val="100000000000"/>
          <w:trHeight w:val="317"/>
          <w:jc w:val="center"/>
        </w:trPr>
        <w:tc>
          <w:tcPr>
            <w:cnfStyle w:val="001000000000"/>
            <w:tcW w:w="1335" w:type="dxa"/>
            <w:tcBorders>
              <w:bottom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Tipo</w:t>
            </w:r>
          </w:p>
        </w:tc>
        <w:tc>
          <w:tcPr>
            <w:tcW w:w="330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Detalle</w:t>
            </w:r>
          </w:p>
        </w:tc>
        <w:tc>
          <w:tcPr>
            <w:tcW w:w="93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1</w:t>
            </w:r>
          </w:p>
        </w:tc>
        <w:tc>
          <w:tcPr>
            <w:tcW w:w="93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2</w:t>
            </w:r>
          </w:p>
        </w:tc>
        <w:tc>
          <w:tcPr>
            <w:tcW w:w="852"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3</w:t>
            </w:r>
          </w:p>
        </w:tc>
        <w:tc>
          <w:tcPr>
            <w:tcW w:w="852"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4</w:t>
            </w:r>
          </w:p>
        </w:tc>
        <w:tc>
          <w:tcPr>
            <w:tcW w:w="852"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Año 5</w:t>
            </w:r>
          </w:p>
        </w:tc>
        <w:tc>
          <w:tcPr>
            <w:tcW w:w="1439" w:type="dxa"/>
            <w:tcBorders>
              <w:bottom w:val="single" w:sz="4" w:space="0" w:color="auto"/>
            </w:tcBorders>
            <w:noWrap/>
            <w:hideMark/>
          </w:tcPr>
          <w:p w:rsidR="00B5200B" w:rsidRPr="00B5200B" w:rsidRDefault="00B5200B" w:rsidP="00B5200B">
            <w:pPr>
              <w:jc w:val="center"/>
              <w:cnfStyle w:val="10000000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val="restart"/>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Tangibles</w:t>
            </w: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Mantenimiento vieja red </w:t>
            </w:r>
            <w:r w:rsidR="003F04AE" w:rsidRPr="00B5200B">
              <w:rPr>
                <w:rFonts w:ascii="Calibri" w:eastAsia="Times New Roman" w:hAnsi="Calibri" w:cs="Times New Roman"/>
                <w:color w:val="000000"/>
                <w:lang w:eastAsia="es-AR"/>
              </w:rPr>
              <w:t>telefónica</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2.600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3.042</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3.559</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4.164</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4.872</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r>
      <w:tr w:rsidR="00B5200B" w:rsidRPr="00B5200B" w:rsidTr="00346635">
        <w:trPr>
          <w:cnfStyle w:val="000000010000"/>
          <w:trHeight w:val="302"/>
          <w:jc w:val="center"/>
        </w:trPr>
        <w:tc>
          <w:tcPr>
            <w:cnfStyle w:val="001000000000"/>
            <w:tcW w:w="1335"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Operador </w:t>
            </w:r>
            <w:r w:rsidR="00403658" w:rsidRPr="00B5200B">
              <w:rPr>
                <w:rFonts w:ascii="Calibri" w:eastAsia="Times New Roman" w:hAnsi="Calibri" w:cs="Times New Roman"/>
                <w:color w:val="000000"/>
                <w:lang w:eastAsia="es-AR"/>
              </w:rPr>
              <w:t>telefónico</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13000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15.210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17.796</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20.821</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24.361</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Mantenimiento viaja central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3200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3.744</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4.380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5.125</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5.996</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r>
      <w:tr w:rsidR="00B5200B" w:rsidRPr="00B5200B" w:rsidTr="00346635">
        <w:trPr>
          <w:cnfStyle w:val="000000010000"/>
          <w:trHeight w:val="317"/>
          <w:jc w:val="center"/>
        </w:trPr>
        <w:tc>
          <w:tcPr>
            <w:cnfStyle w:val="001000000000"/>
            <w:tcW w:w="1335"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Control de llamadas salientes</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12000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14.040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16.427</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19.219</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22.487</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val="restart"/>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Intangibles</w:t>
            </w: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Mejora de la </w:t>
            </w:r>
            <w:r w:rsidR="00403658" w:rsidRPr="00B5200B">
              <w:rPr>
                <w:rFonts w:ascii="Calibri" w:eastAsia="Times New Roman" w:hAnsi="Calibri" w:cs="Times New Roman"/>
                <w:color w:val="000000"/>
                <w:lang w:eastAsia="es-AR"/>
              </w:rPr>
              <w:t>comunicación</w:t>
            </w:r>
            <w:r w:rsidRPr="00B5200B">
              <w:rPr>
                <w:rFonts w:ascii="Calibri" w:eastAsia="Times New Roman" w:hAnsi="Calibri" w:cs="Times New Roman"/>
                <w:color w:val="000000"/>
                <w:lang w:eastAsia="es-AR"/>
              </w:rPr>
              <w:t xml:space="preserve">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val="restart"/>
            <w:tcBorders>
              <w:top w:val="single" w:sz="4" w:space="0" w:color="auto"/>
              <w:left w:val="single" w:sz="4" w:space="0" w:color="auto"/>
              <w:bottom w:val="single" w:sz="4" w:space="0" w:color="auto"/>
              <w:right w:val="single" w:sz="4" w:space="0" w:color="auto"/>
            </w:tcBorders>
            <w:textDirection w:val="btLr"/>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xml:space="preserve">Ahorro total en </w:t>
            </w:r>
            <w:r w:rsidRPr="00B5200B">
              <w:rPr>
                <w:rFonts w:ascii="Calibri" w:eastAsia="Times New Roman" w:hAnsi="Calibri" w:cs="Times New Roman"/>
                <w:color w:val="000000"/>
                <w:lang w:eastAsia="es-AR"/>
              </w:rPr>
              <w:br/>
              <w:t>ciclo de vida</w:t>
            </w:r>
            <w:r w:rsidRPr="00B5200B">
              <w:rPr>
                <w:rFonts w:ascii="Calibri" w:eastAsia="Times New Roman" w:hAnsi="Calibri" w:cs="Times New Roman"/>
                <w:color w:val="000000"/>
                <w:lang w:eastAsia="es-AR"/>
              </w:rPr>
              <w:br/>
              <w:t>(dólares)</w:t>
            </w:r>
          </w:p>
        </w:tc>
      </w:tr>
      <w:tr w:rsidR="00B5200B" w:rsidRPr="00B5200B" w:rsidTr="00346635">
        <w:trPr>
          <w:cnfStyle w:val="000000010000"/>
          <w:trHeight w:val="302"/>
          <w:jc w:val="center"/>
        </w:trPr>
        <w:tc>
          <w:tcPr>
            <w:cnfStyle w:val="001000000000"/>
            <w:tcW w:w="1335" w:type="dxa"/>
            <w:vMerge/>
            <w:tcBorders>
              <w:top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Mayor productividad</w:t>
            </w:r>
          </w:p>
        </w:tc>
        <w:tc>
          <w:tcPr>
            <w:tcW w:w="939" w:type="dxa"/>
            <w:tcBorders>
              <w:top w:val="single" w:sz="4" w:space="0" w:color="auto"/>
              <w:lef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top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tcBorders>
              <w:top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tcBorders>
              <w:top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tcBorders>
              <w:top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010000"/>
              <w:rPr>
                <w:rFonts w:ascii="Calibri" w:eastAsia="Times New Roman" w:hAnsi="Calibri" w:cs="Times New Roman"/>
                <w:color w:val="000000"/>
                <w:lang w:eastAsia="es-AR"/>
              </w:rPr>
            </w:pPr>
          </w:p>
        </w:tc>
      </w:tr>
      <w:tr w:rsidR="00346635" w:rsidRPr="00B5200B" w:rsidTr="00346635">
        <w:trPr>
          <w:cnfStyle w:val="000000100000"/>
          <w:trHeight w:val="302"/>
          <w:jc w:val="center"/>
        </w:trPr>
        <w:tc>
          <w:tcPr>
            <w:cnfStyle w:val="001000000000"/>
            <w:tcW w:w="1335" w:type="dxa"/>
            <w:vMerge/>
            <w:tcBorders>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Control de llamadas internas</w:t>
            </w:r>
          </w:p>
        </w:tc>
        <w:tc>
          <w:tcPr>
            <w:tcW w:w="939" w:type="dxa"/>
            <w:tcBorders>
              <w:lef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100000"/>
              <w:rPr>
                <w:rFonts w:ascii="Calibri" w:eastAsia="Times New Roman" w:hAnsi="Calibri" w:cs="Times New Roman"/>
                <w:color w:val="000000"/>
                <w:lang w:eastAsia="es-AR"/>
              </w:rPr>
            </w:pPr>
          </w:p>
        </w:tc>
      </w:tr>
      <w:tr w:rsidR="00B5200B" w:rsidRPr="00B5200B" w:rsidTr="00346635">
        <w:trPr>
          <w:cnfStyle w:val="000000010000"/>
          <w:trHeight w:val="302"/>
          <w:jc w:val="center"/>
        </w:trPr>
        <w:tc>
          <w:tcPr>
            <w:cnfStyle w:val="001000000000"/>
            <w:tcW w:w="1335" w:type="dxa"/>
            <w:vMerge/>
            <w:tcBorders>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403658" w:rsidP="00B5200B">
            <w:pP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Disminución</w:t>
            </w:r>
            <w:r w:rsidR="00B5200B" w:rsidRPr="00B5200B">
              <w:rPr>
                <w:rFonts w:ascii="Calibri" w:eastAsia="Times New Roman" w:hAnsi="Calibri" w:cs="Times New Roman"/>
                <w:color w:val="000000"/>
                <w:lang w:eastAsia="es-AR"/>
              </w:rPr>
              <w:t xml:space="preserve"> espacio </w:t>
            </w:r>
            <w:r w:rsidRPr="00B5200B">
              <w:rPr>
                <w:rFonts w:ascii="Calibri" w:eastAsia="Times New Roman" w:hAnsi="Calibri" w:cs="Times New Roman"/>
                <w:color w:val="000000"/>
                <w:lang w:eastAsia="es-AR"/>
              </w:rPr>
              <w:t>físico</w:t>
            </w:r>
            <w:r w:rsidR="00B5200B" w:rsidRPr="00B5200B">
              <w:rPr>
                <w:rFonts w:ascii="Calibri" w:eastAsia="Times New Roman" w:hAnsi="Calibri" w:cs="Times New Roman"/>
                <w:color w:val="000000"/>
                <w:lang w:eastAsia="es-AR"/>
              </w:rPr>
              <w:t xml:space="preserve"> </w:t>
            </w:r>
          </w:p>
        </w:tc>
        <w:tc>
          <w:tcPr>
            <w:tcW w:w="939" w:type="dxa"/>
            <w:tcBorders>
              <w:lef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noWrap/>
            <w:hideMark/>
          </w:tcPr>
          <w:p w:rsidR="00B5200B" w:rsidRPr="00B5200B" w:rsidRDefault="00B5200B" w:rsidP="00B5200B">
            <w:pPr>
              <w:jc w:val="center"/>
              <w:cnfStyle w:val="000000010000"/>
              <w:rPr>
                <w:rFonts w:ascii="Calibri" w:eastAsia="Times New Roman" w:hAnsi="Calibri" w:cs="Times New Roman"/>
                <w:color w:val="000000"/>
                <w:lang w:eastAsia="es-AR"/>
              </w:rPr>
            </w:pPr>
          </w:p>
        </w:tc>
        <w:tc>
          <w:tcPr>
            <w:tcW w:w="852" w:type="dxa"/>
            <w:tcBorders>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010000"/>
              <w:rPr>
                <w:rFonts w:ascii="Calibri" w:eastAsia="Times New Roman" w:hAnsi="Calibri" w:cs="Times New Roman"/>
                <w:color w:val="000000"/>
                <w:lang w:eastAsia="es-AR"/>
              </w:rPr>
            </w:pPr>
          </w:p>
        </w:tc>
      </w:tr>
      <w:tr w:rsidR="00346635" w:rsidRPr="00B5200B" w:rsidTr="00346635">
        <w:trPr>
          <w:cnfStyle w:val="000000100000"/>
          <w:trHeight w:val="317"/>
          <w:jc w:val="center"/>
        </w:trPr>
        <w:tc>
          <w:tcPr>
            <w:cnfStyle w:val="001000000000"/>
            <w:tcW w:w="1335" w:type="dxa"/>
            <w:vMerge/>
            <w:tcBorders>
              <w:bottom w:val="single" w:sz="4" w:space="0" w:color="auto"/>
              <w:right w:val="single" w:sz="4" w:space="0" w:color="auto"/>
            </w:tcBorders>
            <w:hideMark/>
          </w:tcPr>
          <w:p w:rsidR="00B5200B" w:rsidRPr="00B5200B" w:rsidRDefault="00B5200B" w:rsidP="00B5200B">
            <w:pPr>
              <w:rPr>
                <w:rFonts w:ascii="Calibri" w:eastAsia="Times New Roman" w:hAnsi="Calibri" w:cs="Times New Roman"/>
                <w:color w:val="000000"/>
                <w:lang w:eastAsia="es-AR"/>
              </w:rPr>
            </w:pP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Aumento eficiencia del servicio</w:t>
            </w:r>
          </w:p>
        </w:tc>
        <w:tc>
          <w:tcPr>
            <w:tcW w:w="939" w:type="dxa"/>
            <w:tcBorders>
              <w:left w:val="single" w:sz="4" w:space="0" w:color="auto"/>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852" w:type="dxa"/>
            <w:tcBorders>
              <w:bottom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p>
        </w:tc>
        <w:tc>
          <w:tcPr>
            <w:tcW w:w="852" w:type="dxa"/>
            <w:tcBorders>
              <w:bottom w:val="single" w:sz="4" w:space="0" w:color="auto"/>
              <w:right w:val="single" w:sz="4" w:space="0" w:color="auto"/>
            </w:tcBorders>
            <w:noWrap/>
            <w:hideMark/>
          </w:tcPr>
          <w:p w:rsidR="00B5200B" w:rsidRPr="00B5200B" w:rsidRDefault="00B5200B" w:rsidP="00B5200B">
            <w:pPr>
              <w:jc w:val="center"/>
              <w:cnfStyle w:val="00000010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1439" w:type="dxa"/>
            <w:vMerge/>
            <w:tcBorders>
              <w:top w:val="single" w:sz="4" w:space="0" w:color="auto"/>
              <w:left w:val="single" w:sz="4" w:space="0" w:color="auto"/>
              <w:bottom w:val="single" w:sz="4" w:space="0" w:color="auto"/>
              <w:right w:val="single" w:sz="4" w:space="0" w:color="auto"/>
            </w:tcBorders>
            <w:hideMark/>
          </w:tcPr>
          <w:p w:rsidR="00B5200B" w:rsidRPr="00B5200B" w:rsidRDefault="00B5200B" w:rsidP="00B5200B">
            <w:pPr>
              <w:cnfStyle w:val="000000100000"/>
              <w:rPr>
                <w:rFonts w:ascii="Calibri" w:eastAsia="Times New Roman" w:hAnsi="Calibri" w:cs="Times New Roman"/>
                <w:color w:val="000000"/>
                <w:lang w:eastAsia="es-AR"/>
              </w:rPr>
            </w:pPr>
          </w:p>
        </w:tc>
      </w:tr>
      <w:tr w:rsidR="00B5200B" w:rsidRPr="00B5200B" w:rsidTr="00346635">
        <w:trPr>
          <w:cnfStyle w:val="000000010000"/>
          <w:trHeight w:val="317"/>
          <w:jc w:val="center"/>
        </w:trPr>
        <w:tc>
          <w:tcPr>
            <w:cnfStyle w:val="001000000000"/>
            <w:tcW w:w="1335"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TOTAL</w:t>
            </w:r>
          </w:p>
        </w:tc>
        <w:tc>
          <w:tcPr>
            <w:tcW w:w="330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 </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30.800</w:t>
            </w:r>
          </w:p>
        </w:tc>
        <w:tc>
          <w:tcPr>
            <w:tcW w:w="939"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36.036</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42.162</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49.330</w:t>
            </w:r>
          </w:p>
        </w:tc>
        <w:tc>
          <w:tcPr>
            <w:tcW w:w="852" w:type="dxa"/>
            <w:tcBorders>
              <w:top w:val="single" w:sz="4" w:space="0" w:color="auto"/>
              <w:left w:val="single" w:sz="4" w:space="0" w:color="auto"/>
              <w:bottom w:val="single" w:sz="4" w:space="0" w:color="auto"/>
              <w:right w:val="single" w:sz="4" w:space="0" w:color="auto"/>
            </w:tcBorders>
            <w:noWrap/>
            <w:hideMark/>
          </w:tcPr>
          <w:p w:rsidR="00B5200B" w:rsidRPr="00B5200B" w:rsidRDefault="00B5200B" w:rsidP="00B5200B">
            <w:pPr>
              <w:jc w:val="center"/>
              <w:cnfStyle w:val="000000010000"/>
              <w:rPr>
                <w:rFonts w:ascii="Calibri" w:eastAsia="Times New Roman" w:hAnsi="Calibri" w:cs="Times New Roman"/>
                <w:color w:val="000000"/>
                <w:lang w:eastAsia="es-AR"/>
              </w:rPr>
            </w:pPr>
            <w:r w:rsidRPr="00B5200B">
              <w:rPr>
                <w:rFonts w:ascii="Calibri" w:eastAsia="Times New Roman" w:hAnsi="Calibri" w:cs="Times New Roman"/>
                <w:color w:val="000000"/>
                <w:lang w:eastAsia="es-AR"/>
              </w:rPr>
              <w:t>57.716</w:t>
            </w:r>
          </w:p>
        </w:tc>
        <w:tc>
          <w:tcPr>
            <w:tcW w:w="1439" w:type="dxa"/>
            <w:tcBorders>
              <w:top w:val="single" w:sz="4" w:space="0" w:color="auto"/>
              <w:left w:val="single" w:sz="4" w:space="0" w:color="auto"/>
              <w:bottom w:val="single" w:sz="4" w:space="0" w:color="auto"/>
              <w:right w:val="single" w:sz="4" w:space="0" w:color="auto"/>
            </w:tcBorders>
            <w:noWrap/>
            <w:hideMark/>
          </w:tcPr>
          <w:p w:rsidR="00B5200B" w:rsidRPr="00B5200B" w:rsidRDefault="00346635" w:rsidP="00B5200B">
            <w:pPr>
              <w:jc w:val="center"/>
              <w:cnfStyle w:val="000000010000"/>
              <w:rPr>
                <w:rFonts w:ascii="Calibri" w:eastAsia="Times New Roman" w:hAnsi="Calibri" w:cs="Times New Roman"/>
                <w:b/>
                <w:color w:val="000000"/>
                <w:lang w:eastAsia="es-AR"/>
              </w:rPr>
            </w:pPr>
            <w:r>
              <w:rPr>
                <w:rFonts w:ascii="Calibri" w:eastAsia="Times New Roman" w:hAnsi="Calibri" w:cs="Times New Roman"/>
                <w:b/>
                <w:color w:val="000000"/>
                <w:lang w:eastAsia="es-AR"/>
              </w:rPr>
              <w:t xml:space="preserve">U$S </w:t>
            </w:r>
            <w:r w:rsidR="00B5200B" w:rsidRPr="00B5200B">
              <w:rPr>
                <w:rFonts w:ascii="Calibri" w:eastAsia="Times New Roman" w:hAnsi="Calibri" w:cs="Times New Roman"/>
                <w:b/>
                <w:color w:val="000000"/>
                <w:lang w:eastAsia="es-AR"/>
              </w:rPr>
              <w:t>216.044</w:t>
            </w:r>
          </w:p>
        </w:tc>
      </w:tr>
    </w:tbl>
    <w:p w:rsidR="00A05238" w:rsidRDefault="00A05238" w:rsidP="00B554B4">
      <w:pPr>
        <w:autoSpaceDE w:val="0"/>
        <w:autoSpaceDN w:val="0"/>
        <w:adjustRightInd w:val="0"/>
        <w:spacing w:after="0" w:line="240" w:lineRule="auto"/>
      </w:pPr>
    </w:p>
    <w:p w:rsidR="002A2722" w:rsidRDefault="002A2722" w:rsidP="00B554B4">
      <w:pPr>
        <w:autoSpaceDE w:val="0"/>
        <w:autoSpaceDN w:val="0"/>
        <w:adjustRightInd w:val="0"/>
        <w:spacing w:after="0" w:line="240" w:lineRule="auto"/>
      </w:pPr>
    </w:p>
    <w:p w:rsidR="00A05238" w:rsidRDefault="00A05238" w:rsidP="00B554B4">
      <w:pPr>
        <w:autoSpaceDE w:val="0"/>
        <w:autoSpaceDN w:val="0"/>
        <w:adjustRightInd w:val="0"/>
        <w:spacing w:after="0" w:line="240" w:lineRule="auto"/>
      </w:pPr>
    </w:p>
    <w:p w:rsidR="00B03413" w:rsidRDefault="006970C8" w:rsidP="00B554B4">
      <w:pPr>
        <w:autoSpaceDE w:val="0"/>
        <w:autoSpaceDN w:val="0"/>
        <w:adjustRightInd w:val="0"/>
        <w:spacing w:after="0" w:line="240" w:lineRule="auto"/>
      </w:pPr>
      <w:r>
        <w:t>Mantenimiento de vieja red telefónica:</w:t>
      </w:r>
    </w:p>
    <w:p w:rsidR="006970C8" w:rsidRDefault="006970C8" w:rsidP="0064187E">
      <w:pPr>
        <w:autoSpaceDE w:val="0"/>
        <w:autoSpaceDN w:val="0"/>
        <w:adjustRightInd w:val="0"/>
        <w:spacing w:after="0" w:line="240" w:lineRule="auto"/>
        <w:jc w:val="both"/>
      </w:pPr>
      <w:r>
        <w:t>Con la nueva IPPBX no necesitaremos mas el cableado de par de cobre, de esta forma eliminamos el mantenimiento del mismo. Suponemos que el mantenimiento del cableado requiere a una persona ocupara el 20 % de su jornada laboral con un sueldo de</w:t>
      </w:r>
      <w:r w:rsidR="006865E9">
        <w:t xml:space="preserve"> 1000</w:t>
      </w:r>
      <w:r>
        <w:t xml:space="preserve"> </w:t>
      </w:r>
      <w:r w:rsidR="006865E9">
        <w:t>dólares</w:t>
      </w:r>
      <w:r>
        <w:t xml:space="preserve">. Entonces se destinan </w:t>
      </w:r>
      <w:r w:rsidR="006865E9">
        <w:t>200</w:t>
      </w:r>
      <w:r>
        <w:t xml:space="preserve"> </w:t>
      </w:r>
      <w:r w:rsidR="006865E9">
        <w:t>dólares</w:t>
      </w:r>
      <w:r>
        <w:t xml:space="preserve"> por mes a esta labor.</w:t>
      </w:r>
    </w:p>
    <w:p w:rsidR="00B03413" w:rsidRDefault="00B03413"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Operador telefónico:</w:t>
      </w:r>
    </w:p>
    <w:p w:rsidR="006970C8" w:rsidRDefault="006970C8" w:rsidP="0064187E">
      <w:pPr>
        <w:autoSpaceDE w:val="0"/>
        <w:autoSpaceDN w:val="0"/>
        <w:adjustRightInd w:val="0"/>
        <w:spacing w:after="0" w:line="240" w:lineRule="auto"/>
        <w:jc w:val="both"/>
      </w:pPr>
      <w:r>
        <w:t>Con la incorporación de la IVR a la IPPBX se necesitara un solo opera</w:t>
      </w:r>
      <w:r w:rsidR="006865E9">
        <w:t>dor, estimamos el sueldo en 1000</w:t>
      </w:r>
      <w:r>
        <w:t xml:space="preserve"> </w:t>
      </w:r>
      <w:r w:rsidR="006865E9">
        <w:t>dólares</w:t>
      </w:r>
      <w:r>
        <w:t xml:space="preserve">. </w:t>
      </w:r>
    </w:p>
    <w:p w:rsidR="006970C8" w:rsidRDefault="006970C8"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Mantenimiento viaja central:</w:t>
      </w:r>
    </w:p>
    <w:p w:rsidR="006970C8" w:rsidRDefault="006970C8" w:rsidP="0064187E">
      <w:pPr>
        <w:autoSpaceDE w:val="0"/>
        <w:autoSpaceDN w:val="0"/>
        <w:adjustRightInd w:val="0"/>
        <w:spacing w:after="0" w:line="240" w:lineRule="auto"/>
        <w:jc w:val="both"/>
      </w:pPr>
      <w:r>
        <w:t xml:space="preserve">Al dejar de utilizar la vieja central se dejara de pagar el mantenimiento de la misma que estimamos un valor de </w:t>
      </w:r>
      <w:r w:rsidR="006865E9">
        <w:t>3200</w:t>
      </w:r>
      <w:r>
        <w:t xml:space="preserve"> </w:t>
      </w:r>
      <w:r w:rsidR="006865E9">
        <w:t>dólares</w:t>
      </w:r>
      <w:r>
        <w:t xml:space="preserve"> al año.</w:t>
      </w:r>
    </w:p>
    <w:p w:rsidR="006970C8" w:rsidRDefault="006970C8"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Control de llamadas salientes:</w:t>
      </w:r>
    </w:p>
    <w:p w:rsidR="00A05238" w:rsidRDefault="006970C8" w:rsidP="0064187E">
      <w:pPr>
        <w:autoSpaceDE w:val="0"/>
        <w:autoSpaceDN w:val="0"/>
        <w:adjustRightInd w:val="0"/>
        <w:spacing w:after="0" w:line="240" w:lineRule="auto"/>
        <w:jc w:val="both"/>
      </w:pPr>
      <w:r>
        <w:t>Actualmente desde las líneas que poseen salida hacia la PSTN no existe ningún tipo de control ni restricción, con la nueva IPPBX se deberá ingresar una clave de usuario para salir a la PSTN</w:t>
      </w:r>
      <w:r w:rsidR="00A05238">
        <w:t xml:space="preserve">. De esta manera se controlara el flujo de llamadas salientes reduciendo las llamadas no autorizadas. Como valor de ejemplo ponemos </w:t>
      </w:r>
      <w:r w:rsidR="006865E9">
        <w:t>1000</w:t>
      </w:r>
      <w:r w:rsidR="00A05238">
        <w:t xml:space="preserve"> </w:t>
      </w:r>
      <w:r w:rsidR="00B5200B">
        <w:t>dólares</w:t>
      </w:r>
      <w:r w:rsidR="00A05238">
        <w:t xml:space="preserve"> por mes.</w:t>
      </w:r>
    </w:p>
    <w:p w:rsidR="006970C8" w:rsidRDefault="006970C8" w:rsidP="00B554B4">
      <w:pPr>
        <w:autoSpaceDE w:val="0"/>
        <w:autoSpaceDN w:val="0"/>
        <w:adjustRightInd w:val="0"/>
        <w:spacing w:after="0" w:line="240" w:lineRule="auto"/>
      </w:pPr>
      <w:r>
        <w:t xml:space="preserve"> </w:t>
      </w:r>
    </w:p>
    <w:p w:rsidR="002A2722" w:rsidRDefault="0058283C" w:rsidP="00B554B4">
      <w:pPr>
        <w:autoSpaceDE w:val="0"/>
        <w:autoSpaceDN w:val="0"/>
        <w:adjustRightInd w:val="0"/>
        <w:spacing w:after="0" w:line="240" w:lineRule="auto"/>
        <w:rPr>
          <w:rFonts w:ascii="CMBX12" w:hAnsi="CMBX12" w:cs="CMBX12"/>
          <w:sz w:val="29"/>
          <w:szCs w:val="29"/>
        </w:rPr>
      </w:pPr>
      <w:r>
        <w:rPr>
          <w:rFonts w:ascii="CMBX12" w:hAnsi="CMBX12" w:cs="CMBX12"/>
          <w:sz w:val="29"/>
          <w:szCs w:val="29"/>
        </w:rPr>
        <w:t>Flujo de Caja Descontada</w:t>
      </w:r>
    </w:p>
    <w:p w:rsidR="0058283C" w:rsidRDefault="0058283C" w:rsidP="00B554B4">
      <w:pPr>
        <w:autoSpaceDE w:val="0"/>
        <w:autoSpaceDN w:val="0"/>
        <w:adjustRightInd w:val="0"/>
        <w:spacing w:after="0" w:line="240" w:lineRule="auto"/>
        <w:rPr>
          <w:rFonts w:ascii="CMBX12" w:hAnsi="CMBX12" w:cs="CMBX12"/>
          <w:sz w:val="29"/>
          <w:szCs w:val="29"/>
        </w:rPr>
      </w:pPr>
    </w:p>
    <w:p w:rsidR="0058283C" w:rsidRDefault="0058283C" w:rsidP="0064187E">
      <w:pPr>
        <w:jc w:val="both"/>
      </w:pPr>
      <w:r>
        <w:lastRenderedPageBreak/>
        <w:t>El flujo de caja se calcula como diferencia entre los flujos de egresos y los de ingresos al final del ciclo de vida. Es necesario diferenciar entre el resultado contable y el resultado económico. En este último es necesario considerar el costo del capital, medido por la tasa de interés, lo que lleva al flujo de caja descontado.</w:t>
      </w:r>
    </w:p>
    <w:p w:rsidR="0058283C" w:rsidRDefault="003D71E8" w:rsidP="0058283C">
      <w:pPr>
        <w:rPr>
          <w:rFonts w:eastAsiaTheme="minorEastAsia"/>
          <w:i/>
        </w:rPr>
      </w:pPr>
      <m:oMathPara>
        <m:oMath>
          <m:sSub>
            <m:sSubPr>
              <m:ctrlPr>
                <w:rPr>
                  <w:rFonts w:ascii="Cambria Math" w:hAnsi="Cambria Math"/>
                  <w:i/>
                </w:rPr>
              </m:ctrlPr>
            </m:sSubPr>
            <m:e>
              <m:r>
                <w:rPr>
                  <w:rFonts w:ascii="Cambria Math" w:hAnsi="Cambria Math"/>
                </w:rPr>
                <m:t>FCD</m:t>
              </m:r>
            </m:e>
            <m:sub>
              <m:r>
                <w:rPr>
                  <w:rFonts w:ascii="Cambria Math" w:hAnsi="Cambria Math"/>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FC</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den>
          </m:f>
        </m:oMath>
      </m:oMathPara>
    </w:p>
    <w:p w:rsidR="00E40FE1" w:rsidRDefault="00E40FE1" w:rsidP="0064187E">
      <w:pPr>
        <w:jc w:val="both"/>
      </w:pPr>
      <w:proofErr w:type="gramStart"/>
      <w:r>
        <w:t>donde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ascii="CMMI8" w:hAnsi="CMMI8" w:cs="CMMI8"/>
          <w:sz w:val="16"/>
          <w:szCs w:val="16"/>
        </w:rPr>
        <w:t xml:space="preserve"> </w:t>
      </w:r>
      <w:r>
        <w:t xml:space="preserve">es la tasa de interés, es el costo del capital previsto para el periodo </w:t>
      </w:r>
      <m:oMath>
        <m:r>
          <w:rPr>
            <w:rFonts w:ascii="Cambria Math" w:hAnsi="Cambria Math"/>
          </w:rPr>
          <m:t>i</m:t>
        </m:r>
      </m:oMath>
      <w:r>
        <w:rPr>
          <w:rFonts w:ascii="CMMI12" w:hAnsi="CMMI12" w:cs="CMMI12"/>
        </w:rPr>
        <w:t xml:space="preserve"> </w:t>
      </w:r>
      <w:r>
        <w:t xml:space="preserve">. Este valor dará un valor equivalente al valor del capital al inicio del proyecto de no haber depreciación o inflación. Si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453E5">
        <w:t xml:space="preserve"> </w:t>
      </w:r>
      <w:r>
        <w:t xml:space="preserve">es la tasa de </w:t>
      </w:r>
      <w:r w:rsidR="004453E5">
        <w:t>inflación</w:t>
      </w:r>
      <w:r>
        <w:t xml:space="preserve"> prevista para el periodo </w:t>
      </w:r>
      <m:oMath>
        <m:r>
          <w:rPr>
            <w:rFonts w:ascii="Cambria Math" w:hAnsi="Cambria Math"/>
          </w:rPr>
          <m:t>i</m:t>
        </m:r>
      </m:oMath>
      <w:r>
        <w:t xml:space="preserve">, entonces </w:t>
      </w:r>
      <w:r w:rsidR="004453E5">
        <w:t>deberá</w:t>
      </w:r>
      <w:r>
        <w:t xml:space="preserve"> considerarse </w:t>
      </w:r>
      <w:r w:rsidR="004453E5">
        <w:t>la siguiente modificación en la Ecuación</w:t>
      </w:r>
      <w:r>
        <w:t xml:space="preserve"> 13.1:</w:t>
      </w:r>
    </w:p>
    <w:p w:rsidR="004453E5" w:rsidRDefault="003D71E8" w:rsidP="004453E5">
      <w:pPr>
        <w:rPr>
          <w:rFonts w:eastAsiaTheme="minorEastAsia"/>
          <w:i/>
        </w:rPr>
      </w:pPr>
      <m:oMathPara>
        <m:oMath>
          <m:sSub>
            <m:sSubPr>
              <m:ctrlPr>
                <w:rPr>
                  <w:rFonts w:ascii="Cambria Math" w:hAnsi="Cambria Math"/>
                  <w:i/>
                </w:rPr>
              </m:ctrlPr>
            </m:sSubPr>
            <m:e>
              <m:r>
                <w:rPr>
                  <w:rFonts w:ascii="Cambria Math" w:hAnsi="Cambria Math"/>
                </w:rPr>
                <m:t>FCD</m:t>
              </m:r>
            </m:e>
            <m:sub>
              <m:r>
                <w:rPr>
                  <w:rFonts w:ascii="Cambria Math" w:hAnsi="Cambria Math"/>
                </w:rPr>
                <m:t>i</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den>
          </m:f>
        </m:oMath>
      </m:oMathPara>
    </w:p>
    <w:p w:rsidR="004453E5" w:rsidRDefault="00275651" w:rsidP="0064187E">
      <w:pPr>
        <w:jc w:val="both"/>
      </w:pPr>
      <w:r>
        <w:t>Para hallar el beneficio al final del ciclo de vida simplemente se contabilizan los flujos de caja descontados de cada periodo refiriéndolos al momento inicial de la siguiente forma:</w:t>
      </w:r>
    </w:p>
    <w:p w:rsidR="00275651" w:rsidRDefault="00275651" w:rsidP="00275651">
      <w:pPr>
        <w:rPr>
          <w:rFonts w:eastAsiaTheme="minorEastAsia"/>
          <w:i/>
          <w:lang w:val="en-US"/>
        </w:rPr>
      </w:pPr>
      <m:oMathPara>
        <m:oMath>
          <m:r>
            <w:rPr>
              <w:rFonts w:ascii="Cambria Math" w:hAnsi="Cambria Math"/>
              <w:lang w:val="en-US"/>
            </w:rPr>
            <m:t>VAN=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FCD</m:t>
                  </m:r>
                </m:e>
                <m:sub>
                  <m:r>
                    <w:rPr>
                      <w:rFonts w:ascii="Cambria Math" w:hAnsi="Cambria Math"/>
                      <w:lang w:val="en-US"/>
                    </w:rPr>
                    <m:t>i</m:t>
                  </m:r>
                </m:sub>
              </m:sSub>
            </m:e>
          </m:nary>
        </m:oMath>
      </m:oMathPara>
    </w:p>
    <w:p w:rsidR="00275651" w:rsidRDefault="00275651" w:rsidP="0064187E">
      <w:pPr>
        <w:jc w:val="both"/>
      </w:pPr>
      <w:r>
        <w:t xml:space="preserve">Siendo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oMath>
      <w:r>
        <w:rPr>
          <w:rFonts w:ascii="CMR8" w:hAnsi="CMR8" w:cs="CMR8"/>
          <w:sz w:val="16"/>
          <w:szCs w:val="16"/>
        </w:rPr>
        <w:t xml:space="preserve"> </w:t>
      </w:r>
      <w:r>
        <w:t xml:space="preserve">la inversión inicial requerida para comenzar el proyecto, la cual </w:t>
      </w:r>
      <w:r w:rsidR="0064187E">
        <w:t>será</w:t>
      </w:r>
      <w:r>
        <w:t xml:space="preserve"> por tanto </w:t>
      </w:r>
      <w:r w:rsidR="0064187E">
        <w:t>negativa. El benefi</w:t>
      </w:r>
      <w:r>
        <w:t xml:space="preserve">cio del proyecto </w:t>
      </w:r>
      <w:r w:rsidR="0064187E">
        <w:t>también</w:t>
      </w:r>
      <w:r>
        <w:t xml:space="preserve"> es llamado VAN. Al ser este un caso particular de proyecto, es decir no existen </w:t>
      </w:r>
      <w:r w:rsidR="0064187E">
        <w:t>fl</w:t>
      </w:r>
      <w:r>
        <w:t xml:space="preserve">ujo de ingresos dado que es un </w:t>
      </w:r>
      <w:r w:rsidR="0064187E">
        <w:t>proyecto social/educativo, el c</w:t>
      </w:r>
      <w:r>
        <w:t xml:space="preserve">alculo del </w:t>
      </w:r>
      <w:r>
        <w:rPr>
          <w:rFonts w:ascii="CMMI12" w:hAnsi="CMMI12" w:cs="CMMI12"/>
        </w:rPr>
        <w:t xml:space="preserve">FCD </w:t>
      </w:r>
      <w:r>
        <w:t xml:space="preserve">se realiza empleando el </w:t>
      </w:r>
      <w:r w:rsidR="0064187E">
        <w:t>fl</w:t>
      </w:r>
      <w:r>
        <w:t xml:space="preserve">ujo de ahorro expuesto en el Cuadro 13.2, </w:t>
      </w:r>
      <w:r w:rsidR="0064187E">
        <w:t>descontándose los costos y benefi</w:t>
      </w:r>
      <w:r>
        <w:t xml:space="preserve">cios a la misma tasa de </w:t>
      </w:r>
      <w:r w:rsidR="0064187E">
        <w:t>interés</w:t>
      </w:r>
      <w:r>
        <w:t>. De esta forma se pue</w:t>
      </w:r>
      <w:r w:rsidR="0064187E">
        <w:t>de observar los valores y el gr</w:t>
      </w:r>
      <w:r>
        <w:t>a</w:t>
      </w:r>
      <w:r w:rsidR="0064187E">
        <w:t>fi</w:t>
      </w:r>
      <w:r>
        <w:t xml:space="preserve">co del </w:t>
      </w:r>
      <w:r>
        <w:rPr>
          <w:rFonts w:ascii="CMMI12" w:hAnsi="CMMI12" w:cs="CMMI12"/>
        </w:rPr>
        <w:t>FCD</w:t>
      </w:r>
      <w:r>
        <w:t>:</w:t>
      </w:r>
    </w:p>
    <w:tbl>
      <w:tblPr>
        <w:tblStyle w:val="MediumShading1-Accent11"/>
        <w:tblpPr w:leftFromText="141" w:rightFromText="141" w:vertAnchor="text" w:horzAnchor="margin" w:tblpXSpec="center" w:tblpY="394"/>
        <w:tblW w:w="3085" w:type="dxa"/>
        <w:tblLook w:val="04A0"/>
      </w:tblPr>
      <w:tblGrid>
        <w:gridCol w:w="900"/>
        <w:gridCol w:w="2185"/>
      </w:tblGrid>
      <w:tr w:rsidR="003F04AE" w:rsidRPr="00403658" w:rsidTr="003E2B6F">
        <w:trPr>
          <w:cnfStyle w:val="100000000000"/>
          <w:trHeight w:val="300"/>
        </w:trPr>
        <w:tc>
          <w:tcPr>
            <w:cnfStyle w:val="001000000000"/>
            <w:tcW w:w="900" w:type="dxa"/>
            <w:tcBorders>
              <w:bottom w:val="single" w:sz="4" w:space="0" w:color="auto"/>
            </w:tcBorders>
            <w:noWrap/>
            <w:hideMark/>
          </w:tcPr>
          <w:p w:rsidR="003F04AE" w:rsidRPr="00403658" w:rsidRDefault="003F04AE" w:rsidP="003E2B6F">
            <w:pPr>
              <w:jc w:val="center"/>
              <w:rPr>
                <w:rFonts w:ascii="Calibri" w:eastAsia="Times New Roman" w:hAnsi="Calibri" w:cs="Times New Roman"/>
                <w:color w:val="000000"/>
                <w:lang w:eastAsia="es-AR"/>
              </w:rPr>
            </w:pPr>
            <w:r w:rsidRPr="00403658">
              <w:rPr>
                <w:rFonts w:ascii="Calibri" w:eastAsia="Times New Roman" w:hAnsi="Calibri" w:cs="Times New Roman"/>
                <w:color w:val="000000"/>
                <w:lang w:eastAsia="es-AR"/>
              </w:rPr>
              <w:t>Año</w:t>
            </w:r>
            <w:r>
              <w:rPr>
                <w:rFonts w:ascii="Calibri" w:eastAsia="Times New Roman" w:hAnsi="Calibri" w:cs="Times New Roman"/>
                <w:color w:val="000000"/>
                <w:lang w:eastAsia="es-AR"/>
              </w:rPr>
              <w:t>s</w:t>
            </w:r>
          </w:p>
        </w:tc>
        <w:tc>
          <w:tcPr>
            <w:tcW w:w="2185" w:type="dxa"/>
            <w:tcBorders>
              <w:bottom w:val="single" w:sz="4" w:space="0" w:color="auto"/>
            </w:tcBorders>
            <w:noWrap/>
            <w:hideMark/>
          </w:tcPr>
          <w:p w:rsidR="003F04AE" w:rsidRPr="00403658" w:rsidRDefault="003D71E8" w:rsidP="003E2B6F">
            <w:pPr>
              <w:jc w:val="center"/>
              <w:cnfStyle w:val="100000000000"/>
              <w:rPr>
                <w:rFonts w:ascii="Calibri" w:eastAsia="Times New Roman" w:hAnsi="Calibri" w:cs="Times New Roman"/>
                <w:color w:val="000000"/>
                <w:lang w:eastAsia="es-AR"/>
              </w:rPr>
            </w:pPr>
            <m:oMath>
              <m:sSub>
                <m:sSubPr>
                  <m:ctrlPr>
                    <w:rPr>
                      <w:rFonts w:ascii="Cambria Math" w:eastAsia="Times New Roman" w:hAnsi="Cambria Math" w:cs="Times New Roman"/>
                      <w:i/>
                      <w:color w:val="000000"/>
                      <w:lang w:eastAsia="es-AR"/>
                    </w:rPr>
                  </m:ctrlPr>
                </m:sSubPr>
                <m:e>
                  <m:r>
                    <m:rPr>
                      <m:sty m:val="bi"/>
                    </m:rPr>
                    <w:rPr>
                      <w:rFonts w:ascii="Cambria Math" w:eastAsia="Times New Roman" w:hAnsi="Cambria Math" w:cs="Times New Roman"/>
                      <w:color w:val="000000"/>
                      <w:lang w:eastAsia="es-AR"/>
                    </w:rPr>
                    <m:t>FCD (t</m:t>
                  </m:r>
                </m:e>
                <m:sub>
                  <m:r>
                    <m:rPr>
                      <m:sty m:val="bi"/>
                    </m:rPr>
                    <w:rPr>
                      <w:rFonts w:ascii="Cambria Math" w:eastAsia="Times New Roman" w:hAnsi="Cambria Math" w:cs="Times New Roman"/>
                      <w:color w:val="000000"/>
                      <w:lang w:eastAsia="es-AR"/>
                    </w:rPr>
                    <m:t>i</m:t>
                  </m:r>
                </m:sub>
              </m:sSub>
              <m:r>
                <m:rPr>
                  <m:sty m:val="bi"/>
                </m:rPr>
                <w:rPr>
                  <w:rFonts w:ascii="Cambria Math" w:eastAsia="Times New Roman" w:hAnsi="Cambria Math" w:cs="Times New Roman"/>
                  <w:color w:val="000000"/>
                  <w:lang w:eastAsia="es-AR"/>
                </w:rPr>
                <m:t>=1,3%)</m:t>
              </m:r>
            </m:oMath>
            <w:r w:rsidR="003F04AE" w:rsidRPr="00403658">
              <w:rPr>
                <w:rFonts w:ascii="Calibri" w:eastAsia="Times New Roman" w:hAnsi="Calibri" w:cs="Times New Roman"/>
                <w:color w:val="000000"/>
                <w:lang w:eastAsia="es-AR"/>
              </w:rPr>
              <w:t xml:space="preserve"> </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0</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0</w:t>
            </w:r>
          </w:p>
        </w:tc>
      </w:tr>
      <w:tr w:rsidR="003F04AE" w:rsidRPr="00403658" w:rsidTr="003E2B6F">
        <w:trPr>
          <w:cnfStyle w:val="00000001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0,5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010000"/>
              <w:rPr>
                <w:rFonts w:ascii="Calibri" w:hAnsi="Calibri"/>
                <w:color w:val="000000"/>
              </w:rPr>
            </w:pPr>
            <w:r>
              <w:rPr>
                <w:rFonts w:ascii="Calibri" w:hAnsi="Calibri"/>
                <w:color w:val="000000"/>
              </w:rPr>
              <w:t>-74.428</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1,5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-44.023</w:t>
            </w:r>
          </w:p>
        </w:tc>
      </w:tr>
      <w:tr w:rsidR="003F04AE" w:rsidRPr="00403658" w:rsidTr="003E2B6F">
        <w:trPr>
          <w:cnfStyle w:val="00000001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2,5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010000"/>
              <w:rPr>
                <w:rFonts w:ascii="Calibri" w:hAnsi="Calibri"/>
                <w:color w:val="000000"/>
              </w:rPr>
            </w:pPr>
            <w:r>
              <w:rPr>
                <w:rFonts w:ascii="Calibri" w:hAnsi="Calibri"/>
                <w:color w:val="000000"/>
              </w:rPr>
              <w:t>-8.906</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3,5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31.654</w:t>
            </w:r>
          </w:p>
        </w:tc>
      </w:tr>
      <w:tr w:rsidR="003F04AE" w:rsidRPr="00403658" w:rsidTr="003E2B6F">
        <w:trPr>
          <w:cnfStyle w:val="00000001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4,5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010000"/>
              <w:rPr>
                <w:rFonts w:ascii="Calibri" w:hAnsi="Calibri"/>
                <w:color w:val="000000"/>
              </w:rPr>
            </w:pPr>
            <w:r>
              <w:rPr>
                <w:rFonts w:ascii="Calibri" w:hAnsi="Calibri"/>
                <w:color w:val="000000"/>
              </w:rPr>
              <w:t>78.500</w:t>
            </w:r>
          </w:p>
        </w:tc>
      </w:tr>
      <w:tr w:rsidR="003F04AE" w:rsidRPr="00403658" w:rsidTr="003E2B6F">
        <w:trPr>
          <w:cnfStyle w:val="000000100000"/>
          <w:trHeight w:val="300"/>
        </w:trPr>
        <w:tc>
          <w:tcPr>
            <w:cnfStyle w:val="001000000000"/>
            <w:tcW w:w="900"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pPr>
              <w:jc w:val="right"/>
              <w:rPr>
                <w:rFonts w:ascii="Calibri" w:hAnsi="Calibri"/>
                <w:color w:val="000000"/>
              </w:rPr>
            </w:pPr>
            <w:r>
              <w:rPr>
                <w:rFonts w:ascii="Calibri" w:hAnsi="Calibri"/>
                <w:color w:val="000000"/>
              </w:rPr>
              <w:t>6,5</w:t>
            </w:r>
          </w:p>
        </w:tc>
        <w:tc>
          <w:tcPr>
            <w:tcW w:w="2185" w:type="dxa"/>
            <w:tcBorders>
              <w:top w:val="single" w:sz="4" w:space="0" w:color="auto"/>
              <w:left w:val="single" w:sz="4" w:space="0" w:color="auto"/>
              <w:bottom w:val="single" w:sz="4" w:space="0" w:color="auto"/>
              <w:right w:val="single" w:sz="4" w:space="0" w:color="auto"/>
            </w:tcBorders>
            <w:noWrap/>
            <w:vAlign w:val="bottom"/>
            <w:hideMark/>
          </w:tcPr>
          <w:p w:rsidR="003F04AE" w:rsidRDefault="003F04AE" w:rsidP="003F04AE">
            <w:pPr>
              <w:jc w:val="right"/>
              <w:cnfStyle w:val="000000100000"/>
              <w:rPr>
                <w:rFonts w:ascii="Calibri" w:hAnsi="Calibri"/>
                <w:color w:val="000000"/>
              </w:rPr>
            </w:pPr>
            <w:r>
              <w:rPr>
                <w:rFonts w:ascii="Calibri" w:hAnsi="Calibri"/>
                <w:color w:val="000000"/>
              </w:rPr>
              <w:t>132.606</w:t>
            </w:r>
          </w:p>
        </w:tc>
      </w:tr>
    </w:tbl>
    <w:p w:rsidR="003F04AE" w:rsidRDefault="003F04AE" w:rsidP="0064187E">
      <w:pPr>
        <w:jc w:val="both"/>
      </w:pPr>
    </w:p>
    <w:p w:rsidR="003F04AE" w:rsidRDefault="003F04AE" w:rsidP="0064187E">
      <w:pPr>
        <w:jc w:val="both"/>
      </w:pPr>
    </w:p>
    <w:p w:rsidR="003F04AE" w:rsidRDefault="003F04AE" w:rsidP="0064187E">
      <w:pPr>
        <w:jc w:val="both"/>
      </w:pPr>
    </w:p>
    <w:p w:rsidR="003F04AE" w:rsidRDefault="003F04AE" w:rsidP="0064187E">
      <w:pPr>
        <w:jc w:val="both"/>
      </w:pPr>
    </w:p>
    <w:p w:rsidR="00403658" w:rsidRDefault="00403658" w:rsidP="0064187E">
      <w:pPr>
        <w:jc w:val="both"/>
      </w:pPr>
    </w:p>
    <w:p w:rsidR="00403658" w:rsidRDefault="00403658" w:rsidP="00403658">
      <w:pPr>
        <w:jc w:val="center"/>
        <w:rPr>
          <w:lang w:val="en-US"/>
        </w:rPr>
      </w:pPr>
    </w:p>
    <w:p w:rsidR="003F04AE" w:rsidRDefault="003F04AE" w:rsidP="00403658">
      <w:pPr>
        <w:jc w:val="center"/>
        <w:rPr>
          <w:lang w:val="en-US"/>
        </w:rPr>
      </w:pPr>
      <w:proofErr w:type="spellStart"/>
      <w:r>
        <w:rPr>
          <w:lang w:val="en-US"/>
        </w:rPr>
        <w:t>Flujo</w:t>
      </w:r>
      <w:proofErr w:type="spellEnd"/>
      <w:r>
        <w:rPr>
          <w:lang w:val="en-US"/>
        </w:rPr>
        <w:t xml:space="preserve"> de </w:t>
      </w:r>
      <w:proofErr w:type="spellStart"/>
      <w:r>
        <w:rPr>
          <w:lang w:val="en-US"/>
        </w:rPr>
        <w:t>Caja</w:t>
      </w:r>
      <w:proofErr w:type="spellEnd"/>
      <w:r>
        <w:rPr>
          <w:lang w:val="en-US"/>
        </w:rPr>
        <w:t xml:space="preserve"> </w:t>
      </w:r>
      <w:proofErr w:type="spellStart"/>
      <w:r>
        <w:rPr>
          <w:lang w:val="en-US"/>
        </w:rPr>
        <w:t>Descontada</w:t>
      </w:r>
      <w:proofErr w:type="spellEnd"/>
    </w:p>
    <w:p w:rsidR="003F04AE" w:rsidRDefault="003F04AE" w:rsidP="003F04AE">
      <w:pPr>
        <w:jc w:val="both"/>
      </w:pPr>
      <w:r>
        <w:t>Para el cálculo se utiliza la mayor tasa nominal anual en dólares estadounidenses, que es la que brinda el Banco de la Provincia de Buenos Aires, siendo la misma del 1,3 %. Adicionalmente, como el cálculo se realiza en dólares estadounidenses se supuso que la inflación es despreciable. Del Cuadro 13.1 se puede obtener el VAN, obteniendo el mismo un valor:</w:t>
      </w:r>
    </w:p>
    <w:p w:rsidR="00346635" w:rsidRDefault="00346635" w:rsidP="003F04AE">
      <w:pPr>
        <w:jc w:val="both"/>
      </w:pPr>
    </w:p>
    <w:p w:rsidR="00346635" w:rsidRDefault="00346635" w:rsidP="00346635">
      <w:pPr>
        <w:pBdr>
          <w:top w:val="single" w:sz="4" w:space="1" w:color="auto"/>
          <w:left w:val="single" w:sz="4" w:space="4" w:color="auto"/>
          <w:bottom w:val="single" w:sz="4" w:space="1" w:color="auto"/>
          <w:right w:val="single" w:sz="4" w:space="4" w:color="auto"/>
        </w:pBdr>
        <w:jc w:val="center"/>
        <w:rPr>
          <w:rFonts w:eastAsiaTheme="minorEastAsia"/>
          <w:b/>
          <w:lang w:val="en-US"/>
        </w:rPr>
      </w:pPr>
      <m:oMathPara>
        <m:oMath>
          <m:r>
            <m:rPr>
              <m:sty m:val="bi"/>
            </m:rPr>
            <w:rPr>
              <w:rFonts w:ascii="Cambria Math" w:hAnsi="Cambria Math"/>
              <w:lang w:val="en-US"/>
            </w:rPr>
            <m:t xml:space="preserve">VAN=U$$ 132.606 </m:t>
          </m:r>
        </m:oMath>
      </m:oMathPara>
    </w:p>
    <w:p w:rsidR="00247BCF" w:rsidRDefault="00247BCF" w:rsidP="00346635">
      <w:pPr>
        <w:rPr>
          <w:rFonts w:ascii="CMBX12" w:hAnsi="CMBX12" w:cs="CMBX12"/>
          <w:sz w:val="29"/>
          <w:szCs w:val="29"/>
        </w:rPr>
      </w:pPr>
    </w:p>
    <w:p w:rsidR="00346635" w:rsidRDefault="00247BCF" w:rsidP="00346635">
      <w:pPr>
        <w:rPr>
          <w:rFonts w:ascii="CMBX12" w:hAnsi="CMBX12" w:cs="CMBX12"/>
          <w:sz w:val="29"/>
          <w:szCs w:val="29"/>
        </w:rPr>
      </w:pPr>
      <w:r>
        <w:rPr>
          <w:rFonts w:ascii="CMBX12" w:hAnsi="CMBX12" w:cs="CMBX12"/>
          <w:sz w:val="29"/>
          <w:szCs w:val="29"/>
        </w:rPr>
        <w:t>TIR</w:t>
      </w:r>
    </w:p>
    <w:p w:rsidR="00247BCF" w:rsidRDefault="00247BCF" w:rsidP="00247BCF">
      <w:pPr>
        <w:jc w:val="both"/>
      </w:pPr>
      <w:r>
        <w:t xml:space="preserve">Todo proyecto lleva </w:t>
      </w:r>
      <w:r w:rsidR="003E2B6F">
        <w:t>implícito</w:t>
      </w:r>
      <w:r>
        <w:t xml:space="preserve"> diversos riesgos. Por lo tanto, el proyecto debe producir un benefi</w:t>
      </w:r>
      <w:r w:rsidR="003E2B6F">
        <w:t xml:space="preserve">cio </w:t>
      </w:r>
      <w:r w:rsidR="00C34550">
        <w:t>más</w:t>
      </w:r>
      <w:r w:rsidR="003E2B6F">
        <w:t xml:space="preserve"> atractivo que el que resultara de colocar el capital a interé</w:t>
      </w:r>
      <w:r>
        <w:t xml:space="preserve">s bancario. Por otro </w:t>
      </w:r>
      <w:r w:rsidR="003E2B6F">
        <w:t>lado, como el benefi</w:t>
      </w:r>
      <w:r>
        <w:t xml:space="preserve">cio </w:t>
      </w:r>
      <w:r>
        <w:rPr>
          <w:rFonts w:ascii="CMMI12" w:hAnsi="CMMI12" w:cs="CMMI12"/>
        </w:rPr>
        <w:t xml:space="preserve">B </w:t>
      </w:r>
      <w:r w:rsidR="003E2B6F">
        <w:t>es función de la tasa de interé</w:t>
      </w:r>
      <w:r>
        <w:t xml:space="preserve">s </w:t>
      </w:r>
      <w:r>
        <w:rPr>
          <w:rFonts w:ascii="CMMI12" w:hAnsi="CMMI12" w:cs="CMMI12"/>
        </w:rPr>
        <w:t>t</w:t>
      </w:r>
      <w:r>
        <w:rPr>
          <w:rFonts w:ascii="CMMI8" w:hAnsi="CMMI8" w:cs="CMMI8"/>
          <w:sz w:val="16"/>
          <w:szCs w:val="16"/>
        </w:rPr>
        <w:t>i</w:t>
      </w:r>
      <w:r>
        <w:t>, h</w:t>
      </w:r>
      <w:r w:rsidR="003E2B6F">
        <w:t>abrá una tasa de interé</w:t>
      </w:r>
      <w:r>
        <w:t xml:space="preserve">s para la </w:t>
      </w:r>
      <w:r w:rsidR="003E2B6F">
        <w:t>cual al fi</w:t>
      </w:r>
      <w:r>
        <w:t>n</w:t>
      </w:r>
      <w:r w:rsidR="003E2B6F">
        <w:t>al del proyecto resulta un beneficio nulo. Esta tasa de interé</w:t>
      </w:r>
      <w:r>
        <w:t xml:space="preserve">s se conoce como tasa interna de retorno o </w:t>
      </w:r>
      <w:r>
        <w:rPr>
          <w:rFonts w:ascii="CMMI12" w:hAnsi="CMMI12" w:cs="CMMI12"/>
        </w:rPr>
        <w:t>TIR</w:t>
      </w:r>
      <w:r>
        <w:t>, de modo que:</w:t>
      </w:r>
    </w:p>
    <w:p w:rsidR="003E2B6F" w:rsidRDefault="003E2B6F" w:rsidP="00247BCF">
      <w:pPr>
        <w:jc w:val="both"/>
      </w:pPr>
    </w:p>
    <w:p w:rsidR="003E2B6F" w:rsidRPr="003E2B6F" w:rsidRDefault="003E2B6F" w:rsidP="003E2B6F">
      <w:pPr>
        <w:rPr>
          <w:rFonts w:eastAsiaTheme="minorEastAsia"/>
          <w:i/>
          <w:lang w:val="en-US"/>
        </w:rPr>
      </w:pPr>
      <m:oMathPara>
        <m:oMath>
          <m:r>
            <w:rPr>
              <w:rFonts w:ascii="Cambria Math" w:hAnsi="Cambria Math"/>
              <w:lang w:val="en-US"/>
            </w:rPr>
            <m:t>VAN=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FCD</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FC</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(1+TIR)</m:t>
                      </m:r>
                    </m:e>
                    <m:sup>
                      <m:r>
                        <w:rPr>
                          <w:rFonts w:ascii="Cambria Math" w:hAnsi="Cambria Math"/>
                          <w:lang w:val="en-US"/>
                        </w:rPr>
                        <m:t>i</m:t>
                      </m:r>
                    </m:sup>
                  </m:sSup>
                </m:den>
              </m:f>
              <m:r>
                <w:rPr>
                  <w:rFonts w:ascii="Cambria Math" w:hAnsi="Cambria Math"/>
                  <w:lang w:val="en-US"/>
                </w:rPr>
                <m:t>=0</m:t>
              </m:r>
            </m:e>
          </m:nary>
        </m:oMath>
      </m:oMathPara>
    </w:p>
    <w:p w:rsidR="003E2B6F" w:rsidRDefault="003E2B6F" w:rsidP="00247BCF">
      <w:pPr>
        <w:jc w:val="both"/>
        <w:rPr>
          <w:lang w:val="en-US"/>
        </w:rPr>
      </w:pPr>
      <w:r>
        <w:rPr>
          <w:lang w:val="en-US"/>
        </w:rPr>
        <w:t xml:space="preserve">En </w:t>
      </w:r>
      <w:proofErr w:type="spellStart"/>
      <w:proofErr w:type="gramStart"/>
      <w:r>
        <w:rPr>
          <w:lang w:val="en-US"/>
        </w:rPr>
        <w:t>este</w:t>
      </w:r>
      <w:proofErr w:type="spellEnd"/>
      <w:proofErr w:type="gramEnd"/>
      <w:r>
        <w:rPr>
          <w:lang w:val="en-US"/>
        </w:rPr>
        <w:t xml:space="preserve"> </w:t>
      </w:r>
      <w:proofErr w:type="spellStart"/>
      <w:r>
        <w:rPr>
          <w:lang w:val="en-US"/>
        </w:rPr>
        <w:t>caso</w:t>
      </w:r>
      <w:proofErr w:type="spellEnd"/>
      <w:r>
        <w:rPr>
          <w:lang w:val="en-US"/>
        </w:rPr>
        <w:t xml:space="preserve"> el TIR </w:t>
      </w:r>
      <w:proofErr w:type="spellStart"/>
      <w:r>
        <w:rPr>
          <w:lang w:val="en-US"/>
        </w:rPr>
        <w:t>resulta</w:t>
      </w:r>
      <w:proofErr w:type="spellEnd"/>
      <w:r w:rsidR="009D37C1">
        <w:rPr>
          <w:lang w:val="en-US"/>
        </w:rPr>
        <w:t>:</w:t>
      </w:r>
    </w:p>
    <w:p w:rsidR="009D37C1" w:rsidRDefault="009D37C1" w:rsidP="009D37C1">
      <w:pPr>
        <w:pBdr>
          <w:top w:val="single" w:sz="4" w:space="1" w:color="auto"/>
          <w:left w:val="single" w:sz="4" w:space="4" w:color="auto"/>
          <w:bottom w:val="single" w:sz="4" w:space="1" w:color="auto"/>
          <w:right w:val="single" w:sz="4" w:space="4" w:color="auto"/>
        </w:pBdr>
        <w:jc w:val="center"/>
        <w:rPr>
          <w:rFonts w:eastAsiaTheme="minorEastAsia"/>
          <w:b/>
          <w:lang w:val="en-US"/>
        </w:rPr>
      </w:pPr>
      <m:oMathPara>
        <m:oMath>
          <m:r>
            <m:rPr>
              <m:sty m:val="bi"/>
            </m:rPr>
            <w:rPr>
              <w:rFonts w:ascii="Cambria Math" w:hAnsi="Cambria Math"/>
              <w:lang w:val="en-US"/>
            </w:rPr>
            <m:t xml:space="preserve">TIR=43% </m:t>
          </m:r>
        </m:oMath>
      </m:oMathPara>
    </w:p>
    <w:p w:rsidR="009D37C1" w:rsidRDefault="009D37C1" w:rsidP="009D37C1">
      <w:pPr>
        <w:jc w:val="both"/>
      </w:pPr>
      <w:r>
        <w:t xml:space="preserve">En la medida en que la </w:t>
      </w:r>
      <w:r>
        <w:rPr>
          <w:rFonts w:ascii="CMMI12" w:hAnsi="CMMI12" w:cs="CMMI12"/>
        </w:rPr>
        <w:t xml:space="preserve">TIR </w:t>
      </w:r>
      <w:r>
        <w:t xml:space="preserve">se acerque al valor de la tasa de interés de mercado el proyecto se vuelve menos atractivo. Como puedo observarse del Cuadro 13.3 este no es el caso, ya que el mismo resulta muy superior a la tasa anual de interés (1,3 %). En la Figura 13.3 se puede observar el </w:t>
      </w:r>
      <w:r>
        <w:rPr>
          <w:rFonts w:ascii="CMMI12" w:hAnsi="CMMI12" w:cs="CMMI12"/>
        </w:rPr>
        <w:t xml:space="preserve">FCD </w:t>
      </w:r>
      <w:r>
        <w:t xml:space="preserve">para una tasa de interés </w:t>
      </w:r>
      <w:r>
        <w:rPr>
          <w:rFonts w:ascii="CMMI12" w:hAnsi="CMMI12" w:cs="CMMI12"/>
        </w:rPr>
        <w:t>t</w:t>
      </w:r>
      <w:r>
        <w:rPr>
          <w:rFonts w:ascii="CMMI8" w:hAnsi="CMMI8" w:cs="CMMI8"/>
          <w:sz w:val="16"/>
          <w:szCs w:val="16"/>
        </w:rPr>
        <w:t xml:space="preserve">i </w:t>
      </w:r>
      <w:r>
        <w:t>= 43 %, donde se comprueba que el cálculo es el correcto.</w:t>
      </w:r>
    </w:p>
    <w:p w:rsidR="009D37C1" w:rsidRDefault="009D37C1" w:rsidP="009D37C1">
      <w:pPr>
        <w:autoSpaceDE w:val="0"/>
        <w:autoSpaceDN w:val="0"/>
        <w:adjustRightInd w:val="0"/>
        <w:spacing w:after="0" w:line="240" w:lineRule="auto"/>
        <w:rPr>
          <w:rFonts w:ascii="CMBX12" w:hAnsi="CMBX12" w:cs="CMBX12"/>
          <w:sz w:val="29"/>
          <w:szCs w:val="29"/>
        </w:rPr>
      </w:pPr>
      <w:r>
        <w:rPr>
          <w:rFonts w:ascii="CMBX12" w:hAnsi="CMBX12" w:cs="CMBX12"/>
          <w:sz w:val="29"/>
          <w:szCs w:val="29"/>
        </w:rPr>
        <w:t>TRI</w:t>
      </w:r>
    </w:p>
    <w:p w:rsidR="009D37C1" w:rsidRDefault="009D37C1" w:rsidP="009D37C1"/>
    <w:p w:rsidR="009D37C1" w:rsidRDefault="009D37C1" w:rsidP="009D37C1">
      <w:r>
        <w:t xml:space="preserve">En muchos proyectos, con escenarios a largo plazo impredecibles, o con alta probabilidad de que el escenario a futuro cambie, toma importancia el </w:t>
      </w:r>
      <w:r>
        <w:rPr>
          <w:rFonts w:ascii="CMMI12" w:hAnsi="CMMI12" w:cs="CMMI12"/>
        </w:rPr>
        <w:t xml:space="preserve">TRI </w:t>
      </w:r>
      <w:r>
        <w:t xml:space="preserve">o Tiempo de Recupero de la Inversión. Este valor resulta de determinar el valor de </w:t>
      </w:r>
      <w:r>
        <w:rPr>
          <w:rFonts w:ascii="CMMI12" w:hAnsi="CMMI12" w:cs="CMMI12"/>
        </w:rPr>
        <w:t xml:space="preserve">k </w:t>
      </w:r>
      <w:r>
        <w:t>tal que:</w:t>
      </w:r>
    </w:p>
    <w:p w:rsidR="009D37C1" w:rsidRDefault="009D37C1" w:rsidP="009D37C1">
      <w:pPr>
        <w:rPr>
          <w:rFonts w:eastAsiaTheme="minorEastAsia"/>
          <w:i/>
          <w:lang w:val="en-US"/>
        </w:rPr>
      </w:pPr>
      <m:oMathPara>
        <m:oMath>
          <m:r>
            <w:rPr>
              <w:rFonts w:ascii="Cambria Math" w:hAnsi="Cambria Math"/>
              <w:lang w:val="en-US"/>
            </w:rPr>
            <m:t>VAN=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FCD</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FC</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i</m:t>
                      </m:r>
                    </m:sup>
                  </m:sSup>
                </m:den>
              </m:f>
              <m:r>
                <w:rPr>
                  <w:rFonts w:ascii="Cambria Math" w:hAnsi="Cambria Math"/>
                  <w:lang w:val="en-US"/>
                </w:rPr>
                <m:t>=0</m:t>
              </m:r>
            </m:e>
          </m:nary>
        </m:oMath>
      </m:oMathPara>
    </w:p>
    <w:p w:rsidR="00284BB8" w:rsidRPr="003E2B6F" w:rsidRDefault="00284BB8" w:rsidP="00284BB8">
      <w:pPr>
        <w:rPr>
          <w:rFonts w:eastAsiaTheme="minorEastAsia"/>
          <w:i/>
          <w:lang w:val="en-US"/>
        </w:rPr>
      </w:pPr>
      <w:r>
        <w:t>En este caso se puede obtener gráficamente de la Figura 13.3, resultando aproximadamente:</w:t>
      </w:r>
    </w:p>
    <w:p w:rsidR="009D37C1" w:rsidRDefault="00284BB8" w:rsidP="00284BB8">
      <w:pPr>
        <w:pBdr>
          <w:top w:val="single" w:sz="4" w:space="1" w:color="auto"/>
          <w:left w:val="single" w:sz="4" w:space="4" w:color="auto"/>
          <w:bottom w:val="single" w:sz="4" w:space="1" w:color="auto"/>
          <w:right w:val="single" w:sz="4" w:space="4" w:color="auto"/>
        </w:pBdr>
        <w:rPr>
          <w:rFonts w:eastAsiaTheme="minorEastAsia"/>
          <w:b/>
          <w:lang w:val="en-US"/>
        </w:rPr>
      </w:pPr>
      <m:oMathPara>
        <m:oMath>
          <m:r>
            <m:rPr>
              <m:sty m:val="bi"/>
            </m:rPr>
            <w:rPr>
              <w:rFonts w:ascii="Cambria Math" w:hAnsi="Cambria Math"/>
              <w:lang w:val="en-US"/>
            </w:rPr>
            <m:t>TRI=2,75 años =</m:t>
          </m:r>
          <m:r>
            <m:rPr>
              <m:sty m:val="bi"/>
            </m:rPr>
            <w:rPr>
              <w:rFonts w:ascii="Cambria Math" w:eastAsiaTheme="minorEastAsia" w:hAnsi="Cambria Math"/>
              <w:lang w:val="en-US"/>
            </w:rPr>
            <m:t>2 años y 9 meses</m:t>
          </m:r>
        </m:oMath>
      </m:oMathPara>
    </w:p>
    <w:p w:rsidR="00284BB8" w:rsidRDefault="00284BB8" w:rsidP="009D37C1">
      <w:pPr>
        <w:rPr>
          <w:rFonts w:eastAsiaTheme="minorEastAsia"/>
          <w:b/>
          <w:lang w:val="en-US"/>
        </w:rPr>
      </w:pPr>
    </w:p>
    <w:p w:rsidR="00284BB8" w:rsidRPr="00346635" w:rsidRDefault="00284BB8" w:rsidP="009D37C1">
      <w:pPr>
        <w:rPr>
          <w:lang w:val="en-US"/>
        </w:rPr>
      </w:pPr>
      <w:r>
        <w:rPr>
          <w:noProof/>
          <w:lang w:eastAsia="es-AR"/>
        </w:rPr>
        <w:lastRenderedPageBrea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5in;margin-top:76.2pt;width:18.6pt;height:17.4pt;z-index:251658240"/>
        </w:pict>
      </w:r>
      <w:r w:rsidRPr="002623C9">
        <w:rPr>
          <w:noProof/>
          <w:lang w:val="en-US" w:eastAsia="zh-TW"/>
        </w:rPr>
        <w:pict>
          <v:shapetype id="_x0000_t202" coordsize="21600,21600" o:spt="202" path="m,l,21600r21600,l21600,xe">
            <v:stroke joinstyle="miter"/>
            <v:path gradientshapeok="t" o:connecttype="rect"/>
          </v:shapetype>
          <v:shape id="_x0000_s1029" type="#_x0000_t202" style="position:absolute;margin-left:375pt;margin-top:76.2pt;width:90.6pt;height:36.6pt;z-index:251660288;mso-width-relative:margin;mso-height-relative:margin" stroked="f">
            <v:textbox>
              <w:txbxContent>
                <w:p w:rsidR="00284BB8" w:rsidRPr="00284BB8" w:rsidRDefault="00284BB8" w:rsidP="00284BB8">
                  <w:pPr>
                    <w:jc w:val="center"/>
                    <w:rPr>
                      <w:rFonts w:eastAsiaTheme="minorEastAsia"/>
                      <w:b/>
                      <w:sz w:val="16"/>
                      <w:szCs w:val="16"/>
                      <w:lang w:val="en-US"/>
                    </w:rPr>
                  </w:pPr>
                  <m:oMathPara>
                    <m:oMath>
                      <m:r>
                        <m:rPr>
                          <m:sty m:val="bi"/>
                        </m:rPr>
                        <w:rPr>
                          <w:rFonts w:ascii="Cambria Math" w:hAnsi="Cambria Math"/>
                          <w:sz w:val="16"/>
                          <w:szCs w:val="16"/>
                          <w:lang w:val="en-US"/>
                        </w:rPr>
                        <m:t xml:space="preserve">VAN=U$$ 132.606 </m:t>
                      </m:r>
                    </m:oMath>
                  </m:oMathPara>
                </w:p>
                <w:p w:rsidR="00284BB8" w:rsidRPr="00284BB8" w:rsidRDefault="00284BB8" w:rsidP="00284BB8"/>
              </w:txbxContent>
            </v:textbox>
          </v:shape>
        </w:pict>
      </w:r>
      <w:r w:rsidRPr="00284BB8">
        <w:rPr>
          <w:noProof/>
          <w:lang w:eastAsia="es-AR"/>
        </w:rPr>
        <w:t xml:space="preserve"> </w:t>
      </w:r>
      <w:r w:rsidRPr="00284BB8">
        <w:rPr>
          <w:lang w:val="en-US"/>
        </w:rPr>
        <w:drawing>
          <wp:inline distT="0" distB="0" distL="0" distR="0">
            <wp:extent cx="5943600" cy="431228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84BB8" w:rsidRPr="00346635" w:rsidSect="00B034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MI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330ED"/>
    <w:multiLevelType w:val="hybridMultilevel"/>
    <w:tmpl w:val="F710C0B4"/>
    <w:lvl w:ilvl="0" w:tplc="5DA6199C">
      <w:numFmt w:val="bullet"/>
      <w:lvlText w:val="-"/>
      <w:lvlJc w:val="left"/>
      <w:pPr>
        <w:ind w:left="720" w:hanging="360"/>
      </w:pPr>
      <w:rPr>
        <w:rFonts w:ascii="CMR12" w:eastAsiaTheme="minorHAnsi" w:hAnsi="CMR12" w:cs="CMR12"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drawingGridHorizontalSpacing w:val="110"/>
  <w:displayHorizontalDrawingGridEvery w:val="2"/>
  <w:characterSpacingControl w:val="doNotCompress"/>
  <w:compat/>
  <w:rsids>
    <w:rsidRoot w:val="00B554B4"/>
    <w:rsid w:val="000B3BD8"/>
    <w:rsid w:val="001A1A71"/>
    <w:rsid w:val="00247BCF"/>
    <w:rsid w:val="00275651"/>
    <w:rsid w:val="00284BB8"/>
    <w:rsid w:val="002A2722"/>
    <w:rsid w:val="00325C6A"/>
    <w:rsid w:val="00346635"/>
    <w:rsid w:val="003D71E8"/>
    <w:rsid w:val="003E2B6F"/>
    <w:rsid w:val="003F04AE"/>
    <w:rsid w:val="003F148C"/>
    <w:rsid w:val="00403658"/>
    <w:rsid w:val="00440384"/>
    <w:rsid w:val="004453E5"/>
    <w:rsid w:val="00582341"/>
    <w:rsid w:val="0058283C"/>
    <w:rsid w:val="0060042F"/>
    <w:rsid w:val="0064187E"/>
    <w:rsid w:val="006865E9"/>
    <w:rsid w:val="006970C8"/>
    <w:rsid w:val="006F30F0"/>
    <w:rsid w:val="00916245"/>
    <w:rsid w:val="00957ACD"/>
    <w:rsid w:val="009645D3"/>
    <w:rsid w:val="009D37C1"/>
    <w:rsid w:val="00A05238"/>
    <w:rsid w:val="00B03413"/>
    <w:rsid w:val="00B5200B"/>
    <w:rsid w:val="00B554B4"/>
    <w:rsid w:val="00B86151"/>
    <w:rsid w:val="00BD7D1E"/>
    <w:rsid w:val="00BE5803"/>
    <w:rsid w:val="00C34550"/>
    <w:rsid w:val="00C47821"/>
    <w:rsid w:val="00D35063"/>
    <w:rsid w:val="00DB3C87"/>
    <w:rsid w:val="00E40FE1"/>
    <w:rsid w:val="00E6610F"/>
    <w:rsid w:val="00F452A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063"/>
  </w:style>
  <w:style w:type="paragraph" w:styleId="Heading1">
    <w:name w:val="heading 1"/>
    <w:basedOn w:val="Normal"/>
    <w:next w:val="Normal"/>
    <w:link w:val="Heading1Char"/>
    <w:uiPriority w:val="9"/>
    <w:qFormat/>
    <w:rsid w:val="009D3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2F"/>
    <w:pPr>
      <w:ind w:left="720"/>
      <w:contextualSpacing/>
    </w:pPr>
  </w:style>
  <w:style w:type="paragraph" w:styleId="BalloonText">
    <w:name w:val="Balloon Text"/>
    <w:basedOn w:val="Normal"/>
    <w:link w:val="BalloonTextChar"/>
    <w:uiPriority w:val="99"/>
    <w:semiHidden/>
    <w:unhideWhenUsed/>
    <w:rsid w:val="000B3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BD8"/>
    <w:rPr>
      <w:rFonts w:ascii="Tahoma" w:hAnsi="Tahoma" w:cs="Tahoma"/>
      <w:sz w:val="16"/>
      <w:szCs w:val="16"/>
    </w:rPr>
  </w:style>
  <w:style w:type="paragraph" w:styleId="NoSpacing">
    <w:name w:val="No Spacing"/>
    <w:uiPriority w:val="1"/>
    <w:qFormat/>
    <w:rsid w:val="0058283C"/>
    <w:pPr>
      <w:spacing w:after="0" w:line="240" w:lineRule="auto"/>
    </w:pPr>
  </w:style>
  <w:style w:type="character" w:styleId="PlaceholderText">
    <w:name w:val="Placeholder Text"/>
    <w:basedOn w:val="DefaultParagraphFont"/>
    <w:uiPriority w:val="99"/>
    <w:semiHidden/>
    <w:rsid w:val="0058283C"/>
    <w:rPr>
      <w:color w:val="808080"/>
    </w:rPr>
  </w:style>
  <w:style w:type="table" w:customStyle="1" w:styleId="LightList-Accent11">
    <w:name w:val="Light List - Accent 11"/>
    <w:basedOn w:val="TableNormal"/>
    <w:uiPriority w:val="61"/>
    <w:rsid w:val="00403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40365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3F04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9D37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2242676">
      <w:bodyDiv w:val="1"/>
      <w:marLeft w:val="0"/>
      <w:marRight w:val="0"/>
      <w:marTop w:val="0"/>
      <w:marBottom w:val="0"/>
      <w:divBdr>
        <w:top w:val="none" w:sz="0" w:space="0" w:color="auto"/>
        <w:left w:val="none" w:sz="0" w:space="0" w:color="auto"/>
        <w:bottom w:val="none" w:sz="0" w:space="0" w:color="auto"/>
        <w:right w:val="none" w:sz="0" w:space="0" w:color="auto"/>
      </w:divBdr>
    </w:div>
    <w:div w:id="323320338">
      <w:bodyDiv w:val="1"/>
      <w:marLeft w:val="0"/>
      <w:marRight w:val="0"/>
      <w:marTop w:val="0"/>
      <w:marBottom w:val="0"/>
      <w:divBdr>
        <w:top w:val="none" w:sz="0" w:space="0" w:color="auto"/>
        <w:left w:val="none" w:sz="0" w:space="0" w:color="auto"/>
        <w:bottom w:val="none" w:sz="0" w:space="0" w:color="auto"/>
        <w:right w:val="none" w:sz="0" w:space="0" w:color="auto"/>
      </w:divBdr>
    </w:div>
    <w:div w:id="904098579">
      <w:bodyDiv w:val="1"/>
      <w:marLeft w:val="0"/>
      <w:marRight w:val="0"/>
      <w:marTop w:val="0"/>
      <w:marBottom w:val="0"/>
      <w:divBdr>
        <w:top w:val="none" w:sz="0" w:space="0" w:color="auto"/>
        <w:left w:val="none" w:sz="0" w:space="0" w:color="auto"/>
        <w:bottom w:val="none" w:sz="0" w:space="0" w:color="auto"/>
        <w:right w:val="none" w:sz="0" w:space="0" w:color="auto"/>
      </w:divBdr>
    </w:div>
    <w:div w:id="932937176">
      <w:bodyDiv w:val="1"/>
      <w:marLeft w:val="0"/>
      <w:marRight w:val="0"/>
      <w:marTop w:val="0"/>
      <w:marBottom w:val="0"/>
      <w:divBdr>
        <w:top w:val="none" w:sz="0" w:space="0" w:color="auto"/>
        <w:left w:val="none" w:sz="0" w:space="0" w:color="auto"/>
        <w:bottom w:val="none" w:sz="0" w:space="0" w:color="auto"/>
        <w:right w:val="none" w:sz="0" w:space="0" w:color="auto"/>
      </w:divBdr>
    </w:div>
    <w:div w:id="1246954687">
      <w:bodyDiv w:val="1"/>
      <w:marLeft w:val="0"/>
      <w:marRight w:val="0"/>
      <w:marTop w:val="0"/>
      <w:marBottom w:val="0"/>
      <w:divBdr>
        <w:top w:val="none" w:sz="0" w:space="0" w:color="auto"/>
        <w:left w:val="none" w:sz="0" w:space="0" w:color="auto"/>
        <w:bottom w:val="none" w:sz="0" w:space="0" w:color="auto"/>
        <w:right w:val="none" w:sz="0" w:space="0" w:color="auto"/>
      </w:divBdr>
    </w:div>
    <w:div w:id="1260797434">
      <w:bodyDiv w:val="1"/>
      <w:marLeft w:val="0"/>
      <w:marRight w:val="0"/>
      <w:marTop w:val="0"/>
      <w:marBottom w:val="0"/>
      <w:divBdr>
        <w:top w:val="none" w:sz="0" w:space="0" w:color="auto"/>
        <w:left w:val="none" w:sz="0" w:space="0" w:color="auto"/>
        <w:bottom w:val="none" w:sz="0" w:space="0" w:color="auto"/>
        <w:right w:val="none" w:sz="0" w:space="0" w:color="auto"/>
      </w:divBdr>
    </w:div>
    <w:div w:id="1323195736">
      <w:bodyDiv w:val="1"/>
      <w:marLeft w:val="0"/>
      <w:marRight w:val="0"/>
      <w:marTop w:val="0"/>
      <w:marBottom w:val="0"/>
      <w:divBdr>
        <w:top w:val="none" w:sz="0" w:space="0" w:color="auto"/>
        <w:left w:val="none" w:sz="0" w:space="0" w:color="auto"/>
        <w:bottom w:val="none" w:sz="0" w:space="0" w:color="auto"/>
        <w:right w:val="none" w:sz="0" w:space="0" w:color="auto"/>
      </w:divBdr>
    </w:div>
    <w:div w:id="1473207024">
      <w:bodyDiv w:val="1"/>
      <w:marLeft w:val="0"/>
      <w:marRight w:val="0"/>
      <w:marTop w:val="0"/>
      <w:marBottom w:val="0"/>
      <w:divBdr>
        <w:top w:val="none" w:sz="0" w:space="0" w:color="auto"/>
        <w:left w:val="none" w:sz="0" w:space="0" w:color="auto"/>
        <w:bottom w:val="none" w:sz="0" w:space="0" w:color="auto"/>
        <w:right w:val="none" w:sz="0" w:space="0" w:color="auto"/>
      </w:divBdr>
    </w:div>
    <w:div w:id="1753159645">
      <w:bodyDiv w:val="1"/>
      <w:marLeft w:val="0"/>
      <w:marRight w:val="0"/>
      <w:marTop w:val="0"/>
      <w:marBottom w:val="0"/>
      <w:divBdr>
        <w:top w:val="none" w:sz="0" w:space="0" w:color="auto"/>
        <w:left w:val="none" w:sz="0" w:space="0" w:color="auto"/>
        <w:bottom w:val="none" w:sz="0" w:space="0" w:color="auto"/>
        <w:right w:val="none" w:sz="0" w:space="0" w:color="auto"/>
      </w:divBdr>
    </w:div>
    <w:div w:id="20811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Facundo\Desktop\PBX\4.3%20Factibilidad%20Economica%20-%20Servidores\analisis%20de%20cos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a:pPr>
            <a:r>
              <a:rPr lang="es-AR"/>
              <a:t>Flujo de caja descontada</a:t>
            </a:r>
          </a:p>
        </c:rich>
      </c:tx>
    </c:title>
    <c:plotArea>
      <c:layout/>
      <c:scatterChart>
        <c:scatterStyle val="smoothMarker"/>
        <c:ser>
          <c:idx val="4"/>
          <c:order val="1"/>
          <c:tx>
            <c:strRef>
              <c:f>Beneficios!$G$19</c:f>
              <c:strCache>
                <c:ptCount val="1"/>
                <c:pt idx="0">
                  <c:v>FCD(ti=0)</c:v>
                </c:pt>
              </c:strCache>
            </c:strRef>
          </c:tx>
          <c:spPr>
            <a:ln>
              <a:solidFill>
                <a:srgbClr val="FF0000"/>
              </a:solidFill>
            </a:ln>
          </c:spPr>
          <c:xVal>
            <c:numRef>
              <c:f>Beneficios!$E$20:$E$26</c:f>
              <c:numCache>
                <c:formatCode>General</c:formatCode>
                <c:ptCount val="7"/>
                <c:pt idx="0">
                  <c:v>0</c:v>
                </c:pt>
                <c:pt idx="1">
                  <c:v>0.5</c:v>
                </c:pt>
                <c:pt idx="2">
                  <c:v>1.5</c:v>
                </c:pt>
                <c:pt idx="3">
                  <c:v>2.5</c:v>
                </c:pt>
                <c:pt idx="4">
                  <c:v>3.5</c:v>
                </c:pt>
                <c:pt idx="5">
                  <c:v>4.5</c:v>
                </c:pt>
                <c:pt idx="6">
                  <c:v>6.5</c:v>
                </c:pt>
              </c:numCache>
            </c:numRef>
          </c:xVal>
          <c:yVal>
            <c:numRef>
              <c:f>Beneficios!$G$20:$G$26</c:f>
              <c:numCache>
                <c:formatCode>#,##0</c:formatCode>
                <c:ptCount val="7"/>
                <c:pt idx="0" formatCode="General">
                  <c:v>0</c:v>
                </c:pt>
                <c:pt idx="1">
                  <c:v>-74427.64</c:v>
                </c:pt>
                <c:pt idx="2">
                  <c:v>-43627.64</c:v>
                </c:pt>
                <c:pt idx="3">
                  <c:v>-7986.9015992102641</c:v>
                </c:pt>
                <c:pt idx="4">
                  <c:v>33256.241035462968</c:v>
                </c:pt>
                <c:pt idx="5">
                  <c:v>80983.442583111202</c:v>
                </c:pt>
                <c:pt idx="6">
                  <c:v>136215.27318965862</c:v>
                </c:pt>
              </c:numCache>
            </c:numRef>
          </c:yVal>
          <c:smooth val="1"/>
        </c:ser>
        <c:ser>
          <c:idx val="5"/>
          <c:order val="2"/>
          <c:tx>
            <c:strRef>
              <c:f>Beneficios!$H$19</c:f>
              <c:strCache>
                <c:ptCount val="1"/>
                <c:pt idx="0">
                  <c:v>FCD(ti=TIR)</c:v>
                </c:pt>
              </c:strCache>
            </c:strRef>
          </c:tx>
          <c:xVal>
            <c:numRef>
              <c:f>Beneficios!$E$20:$E$26</c:f>
              <c:numCache>
                <c:formatCode>General</c:formatCode>
                <c:ptCount val="7"/>
                <c:pt idx="0">
                  <c:v>0</c:v>
                </c:pt>
                <c:pt idx="1">
                  <c:v>0.5</c:v>
                </c:pt>
                <c:pt idx="2">
                  <c:v>1.5</c:v>
                </c:pt>
                <c:pt idx="3">
                  <c:v>2.5</c:v>
                </c:pt>
                <c:pt idx="4">
                  <c:v>3.5</c:v>
                </c:pt>
                <c:pt idx="5">
                  <c:v>4.5</c:v>
                </c:pt>
                <c:pt idx="6">
                  <c:v>6.5</c:v>
                </c:pt>
              </c:numCache>
            </c:numRef>
          </c:xVal>
          <c:yVal>
            <c:numRef>
              <c:f>Beneficios!$H$20:$H$26</c:f>
              <c:numCache>
                <c:formatCode>#,##0</c:formatCode>
                <c:ptCount val="7"/>
                <c:pt idx="0" formatCode="General">
                  <c:v>0</c:v>
                </c:pt>
                <c:pt idx="1">
                  <c:v>-74427.64</c:v>
                </c:pt>
                <c:pt idx="2">
                  <c:v>-52889.178461538453</c:v>
                </c:pt>
                <c:pt idx="3">
                  <c:v>-18822.901599210265</c:v>
                </c:pt>
                <c:pt idx="4">
                  <c:v>20578.121035462966</c:v>
                </c:pt>
                <c:pt idx="5">
                  <c:v>66150.042183111218</c:v>
                </c:pt>
                <c:pt idx="6">
                  <c:v>118860.19472165858</c:v>
                </c:pt>
              </c:numCache>
            </c:numRef>
          </c:yVal>
          <c:smooth val="1"/>
        </c:ser>
        <c:ser>
          <c:idx val="0"/>
          <c:order val="0"/>
          <c:tx>
            <c:strRef>
              <c:f>Beneficios!$F$19</c:f>
              <c:strCache>
                <c:ptCount val="1"/>
                <c:pt idx="0">
                  <c:v>FCD(ti=1,3) </c:v>
                </c:pt>
              </c:strCache>
            </c:strRef>
          </c:tx>
          <c:xVal>
            <c:numRef>
              <c:f>Beneficios!$E$20:$E$26</c:f>
              <c:numCache>
                <c:formatCode>General</c:formatCode>
                <c:ptCount val="7"/>
                <c:pt idx="0">
                  <c:v>0</c:v>
                </c:pt>
                <c:pt idx="1">
                  <c:v>0.5</c:v>
                </c:pt>
                <c:pt idx="2">
                  <c:v>1.5</c:v>
                </c:pt>
                <c:pt idx="3">
                  <c:v>2.5</c:v>
                </c:pt>
                <c:pt idx="4">
                  <c:v>3.5</c:v>
                </c:pt>
                <c:pt idx="5">
                  <c:v>4.5</c:v>
                </c:pt>
                <c:pt idx="6">
                  <c:v>6.5</c:v>
                </c:pt>
              </c:numCache>
            </c:numRef>
          </c:xVal>
          <c:yVal>
            <c:numRef>
              <c:f>Beneficios!$F$20:$F$26</c:f>
              <c:numCache>
                <c:formatCode>#,##0</c:formatCode>
                <c:ptCount val="7"/>
                <c:pt idx="0">
                  <c:v>0</c:v>
                </c:pt>
                <c:pt idx="1">
                  <c:v>-74427.64</c:v>
                </c:pt>
                <c:pt idx="2">
                  <c:v>-44022.901599210265</c:v>
                </c:pt>
                <c:pt idx="3">
                  <c:v>-8905.8789645370252</c:v>
                </c:pt>
                <c:pt idx="4">
                  <c:v>31653.762183111241</c:v>
                </c:pt>
                <c:pt idx="5">
                  <c:v>78499.547121658572</c:v>
                </c:pt>
                <c:pt idx="6">
                  <c:v>132605.7350566047</c:v>
                </c:pt>
              </c:numCache>
            </c:numRef>
          </c:yVal>
          <c:smooth val="1"/>
        </c:ser>
        <c:axId val="151920640"/>
        <c:axId val="151922560"/>
      </c:scatterChart>
      <c:valAx>
        <c:axId val="151920640"/>
        <c:scaling>
          <c:orientation val="minMax"/>
        </c:scaling>
        <c:axPos val="b"/>
        <c:maj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ajorGridlines>
        <c:title>
          <c:tx>
            <c:rich>
              <a:bodyPr/>
              <a:lstStyle/>
              <a:p>
                <a:pPr>
                  <a:defRPr/>
                </a:pPr>
                <a:r>
                  <a:rPr lang="es-AR" sz="1200"/>
                  <a:t>AÑOS</a:t>
                </a:r>
              </a:p>
            </c:rich>
          </c:tx>
        </c:title>
        <c:numFmt formatCode="General" sourceLinked="1"/>
        <c:majorTickMark val="none"/>
        <c:tickLblPos val="nextTo"/>
        <c:crossAx val="151922560"/>
        <c:crosses val="autoZero"/>
        <c:crossBetween val="midCat"/>
      </c:valAx>
      <c:valAx>
        <c:axId val="151922560"/>
        <c:scaling>
          <c:orientation val="minMax"/>
        </c:scaling>
        <c:axPos val="l"/>
        <c:majorGridlines/>
        <c:title>
          <c:tx>
            <c:rich>
              <a:bodyPr/>
              <a:lstStyle/>
              <a:p>
                <a:pPr>
                  <a:defRPr/>
                </a:pPr>
                <a:r>
                  <a:rPr lang="es-AR" sz="1200"/>
                  <a:t>FCD (U$S)</a:t>
                </a:r>
              </a:p>
            </c:rich>
          </c:tx>
        </c:title>
        <c:numFmt formatCode="General" sourceLinked="1"/>
        <c:majorTickMark val="none"/>
        <c:tickLblPos val="nextTo"/>
        <c:crossAx val="15192064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7523-9071-410D-9024-7900C891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6</Pages>
  <Words>1169</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Fackland</Company>
  <LinksUpToDate>false</LinksUpToDate>
  <CharactersWithSpaces>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Facuvit</dc:creator>
  <cp:keywords/>
  <dc:description/>
  <cp:lastModifiedBy>Facuvit</cp:lastModifiedBy>
  <cp:revision>6</cp:revision>
  <dcterms:created xsi:type="dcterms:W3CDTF">2010-01-31T15:22:00Z</dcterms:created>
  <dcterms:modified xsi:type="dcterms:W3CDTF">2010-02-10T23:07:00Z</dcterms:modified>
</cp:coreProperties>
</file>