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543CAC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2466F" w:rsidRDefault="00A2466F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proofErr w:type="gramStart"/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 :</w:t>
                              </w:r>
                              <w:proofErr w:type="gramEnd"/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A2466F" w:rsidRDefault="002A48D4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DA3131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5360A6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O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yperlink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yperlink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yperlink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yperlink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yperlink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yperlink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yperlink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yperlink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yperlink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yperlink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EDF" w:rsidRDefault="00543CAC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yperlink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yperlink"/>
            <w:rFonts w:cstheme="minorHAnsi"/>
            <w:noProof/>
          </w:rPr>
          <w:t>2</w:t>
        </w:r>
        <w:r w:rsidR="00800EDF" w:rsidRPr="00EC74B6">
          <w:rPr>
            <w:rStyle w:val="Hyperlink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yperlink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0E4366">
        <w:rPr>
          <w:rFonts w:eastAsia="Calibri" w:cstheme="minorHAnsi"/>
          <w:lang w:val="es-ES"/>
        </w:rPr>
        <w:t>El propósito del macro</w:t>
      </w:r>
      <w:r w:rsidR="000E4366" w:rsidRPr="007533AE">
        <w:rPr>
          <w:rFonts w:eastAsia="Calibri" w:cstheme="minorHAnsi"/>
          <w:lang w:val="es-ES"/>
        </w:rPr>
        <w:t xml:space="preserve"> proceso</w:t>
      </w:r>
      <w:r w:rsidR="000E4366">
        <w:rPr>
          <w:rFonts w:eastAsia="Calibri" w:cstheme="minorHAnsi"/>
          <w:lang w:val="es-ES"/>
        </w:rPr>
        <w:t xml:space="preserve"> </w:t>
      </w:r>
      <w:r w:rsidR="007533AE" w:rsidRPr="007533AE">
        <w:rPr>
          <w:rFonts w:eastAsia="Calibri" w:cstheme="minorHAnsi"/>
          <w:lang w:val="es-ES"/>
        </w:rPr>
        <w:t xml:space="preserve">de </w:t>
      </w:r>
      <w:r w:rsidR="005F70DC">
        <w:rPr>
          <w:rFonts w:eastAsia="Calibri" w:cstheme="minorHAnsi"/>
          <w:lang w:val="es-ES"/>
        </w:rPr>
        <w:t>L</w:t>
      </w:r>
      <w:r w:rsidR="000E4366">
        <w:rPr>
          <w:rFonts w:eastAsia="Calibri" w:cstheme="minorHAnsi"/>
          <w:lang w:val="es-ES"/>
        </w:rPr>
        <w:t xml:space="preserve">ogística </w:t>
      </w:r>
      <w:r w:rsidR="00CE7F17">
        <w:rPr>
          <w:rFonts w:eastAsia="Calibri" w:cstheme="minorHAnsi"/>
          <w:lang w:val="es-ES"/>
        </w:rPr>
        <w:t xml:space="preserve">es que la pequeña minería </w:t>
      </w:r>
      <w:r w:rsidR="002D2332">
        <w:rPr>
          <w:rFonts w:eastAsia="Calibri" w:cstheme="minorHAnsi"/>
          <w:lang w:val="es-ES"/>
        </w:rPr>
        <w:t xml:space="preserve">defina de manera concreta </w:t>
      </w:r>
      <w:r w:rsidR="00CE7F17">
        <w:rPr>
          <w:rFonts w:eastAsia="Calibri" w:cstheme="minorHAnsi"/>
          <w:lang w:val="es-ES"/>
        </w:rPr>
        <w:t xml:space="preserve"> cada uno de los subpro</w:t>
      </w:r>
      <w:r w:rsidR="005F70DC">
        <w:rPr>
          <w:rFonts w:eastAsia="Calibri" w:cstheme="minorHAnsi"/>
          <w:lang w:val="es-ES"/>
        </w:rPr>
        <w:t>cesos y actividades desarrollada</w:t>
      </w:r>
      <w:r w:rsidR="00CE7F17">
        <w:rPr>
          <w:rFonts w:eastAsia="Calibri" w:cstheme="minorHAnsi"/>
          <w:lang w:val="es-ES"/>
        </w:rPr>
        <w:t xml:space="preserve">s durante el </w:t>
      </w:r>
      <w:r w:rsidR="005C6E13">
        <w:rPr>
          <w:rFonts w:eastAsia="Calibri" w:cstheme="minorHAnsi"/>
          <w:lang w:val="es-ES"/>
        </w:rPr>
        <w:t>proceso</w:t>
      </w:r>
      <w:r w:rsidR="00CE7F17">
        <w:rPr>
          <w:rFonts w:eastAsia="Calibri" w:cstheme="minorHAnsi"/>
          <w:lang w:val="es-ES"/>
        </w:rPr>
        <w:t xml:space="preserve"> de logística</w:t>
      </w:r>
      <w:r w:rsidR="005C6E13">
        <w:rPr>
          <w:rFonts w:eastAsia="Calibri" w:cstheme="minorHAnsi"/>
          <w:lang w:val="es-ES"/>
        </w:rPr>
        <w:t xml:space="preserve"> orientada al rubro de negocio</w:t>
      </w:r>
      <w:r w:rsidR="003F7BDA">
        <w:rPr>
          <w:rFonts w:eastAsia="Calibri" w:cstheme="minorHAnsi"/>
          <w:lang w:val="es-ES"/>
        </w:rPr>
        <w:t>. De esta forma, se evalúan</w:t>
      </w:r>
      <w:r w:rsidR="00CE7F17">
        <w:rPr>
          <w:rFonts w:eastAsia="Calibri" w:cstheme="minorHAnsi"/>
          <w:lang w:val="es-ES"/>
        </w:rPr>
        <w:t xml:space="preserve"> las actividades críticas dentro del mismo</w:t>
      </w:r>
      <w:r w:rsidR="003F7BDA">
        <w:rPr>
          <w:rFonts w:eastAsia="Calibri" w:cstheme="minorHAnsi"/>
          <w:lang w:val="es-ES"/>
        </w:rPr>
        <w:t xml:space="preserve"> macro proceso</w:t>
      </w:r>
      <w:r w:rsidR="00CE7F17">
        <w:rPr>
          <w:rFonts w:eastAsia="Calibri" w:cstheme="minorHAnsi"/>
          <w:lang w:val="es-ES"/>
        </w:rPr>
        <w:t xml:space="preserve">, que permitan llevar a </w:t>
      </w:r>
      <w:r w:rsidR="005F70DC">
        <w:rPr>
          <w:rFonts w:eastAsia="Calibri" w:cstheme="minorHAnsi"/>
          <w:lang w:val="es-ES"/>
        </w:rPr>
        <w:t xml:space="preserve">cabo </w:t>
      </w:r>
      <w:r w:rsidR="00CE7F17">
        <w:rPr>
          <w:rFonts w:eastAsia="Calibri" w:cstheme="minorHAnsi"/>
          <w:lang w:val="es-ES"/>
        </w:rPr>
        <w:t>una adecuada automatización.</w:t>
      </w:r>
      <w:r w:rsidR="0075358C">
        <w:rPr>
          <w:rFonts w:eastAsia="Calibri" w:cstheme="minorHAnsi"/>
          <w:lang w:val="es-ES"/>
        </w:rPr>
        <w:t xml:space="preserve"> </w:t>
      </w:r>
      <w:r w:rsidR="00B42F07">
        <w:rPr>
          <w:rFonts w:eastAsia="Calibri" w:cstheme="minorHAnsi"/>
          <w:lang w:val="es-ES"/>
        </w:rPr>
        <w:t>Además, este macro proceso tiene el objetivo de describir las actividades y procesos asociados a la compra, abastecimiento y control de entradas y salidas de productos internos y productos finales producidos por la empresa.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F70DC">
        <w:rPr>
          <w:rFonts w:eastAsia="Calibri" w:cstheme="minorHAnsi"/>
          <w:lang w:val="es-ES"/>
        </w:rPr>
        <w:t>El macro proceso de L</w:t>
      </w:r>
      <w:r w:rsidR="00812A11">
        <w:rPr>
          <w:rFonts w:eastAsia="Calibri" w:cstheme="minorHAnsi"/>
          <w:lang w:val="es-ES"/>
        </w:rPr>
        <w:t>ogística s</w:t>
      </w:r>
      <w:r w:rsidR="00812A11" w:rsidRPr="00CE7F17">
        <w:rPr>
          <w:rFonts w:eastAsia="Calibri" w:cstheme="minorHAnsi"/>
          <w:lang w:val="es-ES"/>
        </w:rPr>
        <w:t>e inicia con la recepción de los requerimientos de materiales</w:t>
      </w:r>
      <w:r w:rsidR="005F70DC">
        <w:rPr>
          <w:rFonts w:eastAsia="Calibri" w:cstheme="minorHAnsi"/>
          <w:lang w:val="es-ES"/>
        </w:rPr>
        <w:t xml:space="preserve"> o bienes por parte del responsa</w:t>
      </w:r>
      <w:r w:rsidR="005F70DC" w:rsidRPr="00CE7F17">
        <w:rPr>
          <w:rFonts w:eastAsia="Calibri" w:cstheme="minorHAnsi"/>
          <w:lang w:val="es-ES"/>
        </w:rPr>
        <w:t>ble</w:t>
      </w:r>
      <w:r w:rsidR="00812A11" w:rsidRPr="00CE7F17">
        <w:rPr>
          <w:rFonts w:eastAsia="Calibri" w:cstheme="minorHAnsi"/>
          <w:lang w:val="es-ES"/>
        </w:rPr>
        <w:t xml:space="preserve"> de cada área usuaria a través de una </w:t>
      </w:r>
      <w:r w:rsidR="00CE7F17">
        <w:rPr>
          <w:rFonts w:eastAsia="Calibri" w:cstheme="minorHAnsi"/>
          <w:lang w:val="es-ES"/>
        </w:rPr>
        <w:t>Solicitud de Pedido</w:t>
      </w:r>
      <w:r w:rsidR="00812A11" w:rsidRPr="00CE7F17">
        <w:rPr>
          <w:rFonts w:eastAsia="Calibri" w:cstheme="minorHAnsi"/>
          <w:lang w:val="es-ES"/>
        </w:rPr>
        <w:t>. Posteriormente, se realiza la elaboración de un plan de compras que permitirá mantener un presupuesto determinado para</w:t>
      </w:r>
      <w:r w:rsidR="00E11BA4">
        <w:rPr>
          <w:rFonts w:eastAsia="Calibri" w:cstheme="minorHAnsi"/>
          <w:lang w:val="es-ES"/>
        </w:rPr>
        <w:t xml:space="preserve"> </w:t>
      </w:r>
      <w:r w:rsidR="00812A11" w:rsidRPr="00CE7F17">
        <w:rPr>
          <w:rFonts w:eastAsia="Calibri" w:cstheme="minorHAnsi"/>
          <w:lang w:val="es-ES"/>
        </w:rPr>
        <w:t>las compras</w:t>
      </w:r>
      <w:r w:rsidR="005F70DC">
        <w:rPr>
          <w:rFonts w:eastAsia="Calibri" w:cstheme="minorHAnsi"/>
          <w:lang w:val="es-ES"/>
        </w:rPr>
        <w:t xml:space="preserve"> según el tipo de productos por requerimiento</w:t>
      </w:r>
      <w:r w:rsidR="00812A11" w:rsidRPr="00CE7F17">
        <w:rPr>
          <w:rFonts w:eastAsia="Calibri" w:cstheme="minorHAnsi"/>
          <w:lang w:val="es-ES"/>
        </w:rPr>
        <w:t xml:space="preserve">. Por </w:t>
      </w:r>
      <w:r w:rsidR="005360A6" w:rsidRPr="00CE7F17">
        <w:rPr>
          <w:rFonts w:eastAsia="Calibri" w:cstheme="minorHAnsi"/>
          <w:lang w:val="es-ES"/>
        </w:rPr>
        <w:t>último</w:t>
      </w:r>
      <w:r w:rsidR="00812A11" w:rsidRPr="00CE7F17">
        <w:rPr>
          <w:rFonts w:eastAsia="Calibri" w:cstheme="minorHAnsi"/>
          <w:lang w:val="es-ES"/>
        </w:rPr>
        <w:t>, se realizará la recepción de pedidos</w:t>
      </w:r>
      <w:r w:rsidR="003F7BDA">
        <w:rPr>
          <w:rFonts w:eastAsia="Calibri" w:cstheme="minorHAnsi"/>
          <w:lang w:val="es-ES"/>
        </w:rPr>
        <w:t xml:space="preserve"> y envió de productos finales con destino final al cliente, </w:t>
      </w:r>
      <w:r w:rsidR="00812A11" w:rsidRPr="00CE7F17">
        <w:rPr>
          <w:rFonts w:eastAsia="Calibri" w:cstheme="minorHAnsi"/>
          <w:lang w:val="es-ES"/>
        </w:rPr>
        <w:t xml:space="preserve"> se mantendrá el control</w:t>
      </w:r>
      <w:r w:rsidR="00CE7F17" w:rsidRPr="00CE7F17">
        <w:rPr>
          <w:rFonts w:eastAsia="Calibri" w:cstheme="minorHAnsi"/>
          <w:lang w:val="es-ES"/>
        </w:rPr>
        <w:t xml:space="preserve"> de lo inventario,</w:t>
      </w:r>
      <w:r w:rsidR="003F7BDA">
        <w:rPr>
          <w:rFonts w:eastAsia="Calibri" w:cstheme="minorHAnsi"/>
          <w:lang w:val="es-ES"/>
        </w:rPr>
        <w:t xml:space="preserve"> y así</w:t>
      </w:r>
      <w:r w:rsidR="00CE7F17" w:rsidRPr="00CE7F17">
        <w:rPr>
          <w:rFonts w:eastAsia="Calibri" w:cstheme="minorHAnsi"/>
          <w:lang w:val="es-ES"/>
        </w:rPr>
        <w:t xml:space="preserve"> de esta forma se permitirá</w:t>
      </w:r>
      <w:r w:rsidR="00812A11" w:rsidRPr="00CE7F17">
        <w:rPr>
          <w:rFonts w:eastAsia="Calibri" w:cstheme="minorHAnsi"/>
          <w:lang w:val="es-ES"/>
        </w:rPr>
        <w:t xml:space="preserve"> manejar adecuadamente los productos adquiridos.</w:t>
      </w: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9"/>
        <w:gridCol w:w="2770"/>
      </w:tblGrid>
      <w:tr w:rsidR="006F14B0" w:rsidRPr="00707C54" w:rsidTr="00707C54">
        <w:trPr>
          <w:cnfStyle w:val="100000000000"/>
          <w:trHeight w:val="278"/>
          <w:jc w:val="center"/>
        </w:trPr>
        <w:tc>
          <w:tcPr>
            <w:cnfStyle w:val="00100000000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ListParagraph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ListParagraph"/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5360A6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81348F" w:rsidRPr="00707C54" w:rsidRDefault="006F14B0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Comercialización y Ventas</w:t>
            </w:r>
          </w:p>
        </w:tc>
        <w:tc>
          <w:tcPr>
            <w:tcW w:w="2770" w:type="dxa"/>
          </w:tcPr>
          <w:p w:rsidR="0081348F" w:rsidRPr="00707C54" w:rsidRDefault="00265607" w:rsidP="00265607">
            <w:pPr>
              <w:pStyle w:val="ListParagraph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e encarga de asegurar la venta de  producción minera, así como de la comercialización respectiva. Comprende las actividades o pasos secuenciales para promover la  venta de los minerales, y se inicia al concluir el macro proceso de producción, en el cual se obtienen los minerales y finaliza con la venta de los mismos a los clientes de la empresa</w:t>
            </w:r>
          </w:p>
        </w:tc>
      </w:tr>
      <w:tr w:rsidR="006F14B0" w:rsidRPr="005360A6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ListParagraph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 xml:space="preserve">e encarga de la administración y planificación de las actividades asociadas a compras de productos de soporte, transporte y almacenaje; siendo un apoyo a los procesos del sector minero para la continuidad de sus </w:t>
            </w:r>
            <w:r w:rsidRPr="00265607">
              <w:rPr>
                <w:rFonts w:ascii="Calibri" w:hAnsi="Calibri" w:cs="Calibri"/>
                <w:sz w:val="20"/>
                <w:szCs w:val="20"/>
              </w:rPr>
              <w:lastRenderedPageBreak/>
              <w:t>operaciones.</w:t>
            </w:r>
          </w:p>
        </w:tc>
      </w:tr>
      <w:tr w:rsidR="006F14B0" w:rsidRPr="005360A6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Contabilidad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ListParagraph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Encargada del manejo de los procedimientos contables, estado de ganancias y </w:t>
            </w:r>
            <w:r w:rsidR="005360A6">
              <w:rPr>
                <w:rFonts w:asciiTheme="minorHAnsi" w:hAnsiTheme="minorHAnsi" w:cstheme="minorHAnsi"/>
                <w:sz w:val="20"/>
                <w:szCs w:val="20"/>
              </w:rPr>
              <w:t>pérdidas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entre otros temas. También se encarga de realizar las actividades de facturación y pago de facturas.</w:t>
            </w:r>
          </w:p>
        </w:tc>
      </w:tr>
      <w:tr w:rsidR="006F14B0" w:rsidRPr="005360A6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Legal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ListParagraph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nvolucra los diversos aspectos legales a tomar en cuenta para que la empresa minera se desempeñe de acuerdo a los puntos establecidos por la ley.</w:t>
            </w:r>
          </w:p>
        </w:tc>
      </w:tr>
      <w:tr w:rsidR="006F14B0" w:rsidRPr="005360A6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  <w:tc>
          <w:tcPr>
            <w:tcW w:w="2770" w:type="dxa"/>
          </w:tcPr>
          <w:p w:rsidR="006F14B0" w:rsidRPr="00707C54" w:rsidRDefault="006F14B0" w:rsidP="00265607">
            <w:pPr>
              <w:pStyle w:val="ListParagraph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Encargada de mandar las solicitudes de pedido, representadas por el inicio de mensaje del macro proceso.</w:t>
            </w:r>
          </w:p>
        </w:tc>
      </w:tr>
      <w:tr w:rsidR="00B42F07" w:rsidRPr="005360A6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B42F07" w:rsidRDefault="00B42F07" w:rsidP="00707C54">
            <w:pPr>
              <w:pStyle w:val="ListParagraph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Operaciones</w:t>
            </w:r>
          </w:p>
        </w:tc>
        <w:tc>
          <w:tcPr>
            <w:tcW w:w="2770" w:type="dxa"/>
          </w:tcPr>
          <w:p w:rsidR="00B42F07" w:rsidRDefault="00B42F07" w:rsidP="00265607">
            <w:pPr>
              <w:pStyle w:val="ListParagraph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la exploración, explotación y producción de minerales a transformar a productos finales. Dichos productos finales serán transportados a los almacenes designados por Logística.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proofErr w:type="spellStart"/>
      <w:r>
        <w:rPr>
          <w:rFonts w:asciiTheme="minorHAnsi" w:hAnsiTheme="minorHAnsi" w:cstheme="minorHAnsi"/>
          <w:lang w:val="es-PE"/>
        </w:rPr>
        <w:t>Stakeholders</w:t>
      </w:r>
      <w:bookmarkEnd w:id="8"/>
      <w:proofErr w:type="spellEnd"/>
    </w:p>
    <w:tbl>
      <w:tblPr>
        <w:tblStyle w:val="Listaclara1"/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6"/>
        <w:gridCol w:w="4138"/>
      </w:tblGrid>
      <w:tr w:rsidR="002A48D4" w:rsidRPr="00B42F07" w:rsidTr="00707C54">
        <w:trPr>
          <w:cnfStyle w:val="100000000000"/>
          <w:trHeight w:val="299"/>
          <w:jc w:val="center"/>
        </w:trPr>
        <w:tc>
          <w:tcPr>
            <w:cnfStyle w:val="001000000000"/>
            <w:tcW w:w="4176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4138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</w:tr>
      <w:tr w:rsidR="002A48D4" w:rsidRPr="005360A6" w:rsidTr="00707C54">
        <w:trPr>
          <w:cnfStyle w:val="000000100000"/>
          <w:trHeight w:val="284"/>
          <w:jc w:val="center"/>
        </w:trPr>
        <w:tc>
          <w:tcPr>
            <w:cnfStyle w:val="001000000000"/>
            <w:tcW w:w="41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6F14B0" w:rsidP="00707C54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Proveedor</w:t>
            </w:r>
          </w:p>
        </w:tc>
        <w:tc>
          <w:tcPr>
            <w:tcW w:w="41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6F14B0" w:rsidP="00707C54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o persona natural encarga de brindar servicios o productos.</w:t>
            </w:r>
          </w:p>
        </w:tc>
      </w:tr>
    </w:tbl>
    <w:p w:rsidR="002A48D4" w:rsidRPr="006F14B0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302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056DC2" w:rsidRPr="00056DC2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056DC2" w:rsidRDefault="00056DC2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3544" w:type="dxa"/>
          </w:tcPr>
          <w:p w:rsidR="00056DC2" w:rsidRDefault="00056DC2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</w:t>
            </w:r>
            <w:r w:rsidR="00D8447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Estos requerimientos orientados a productos, servicios, maquinarias, equipos y bienes.</w:t>
            </w:r>
          </w:p>
        </w:tc>
        <w:tc>
          <w:tcPr>
            <w:tcW w:w="2819" w:type="dxa"/>
          </w:tcPr>
          <w:p w:rsidR="00056DC2" w:rsidRDefault="00056DC2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</w:tr>
      <w:tr w:rsidR="00874DF4" w:rsidRPr="00614785" w:rsidTr="00707C54">
        <w:trPr>
          <w:trHeight w:val="287"/>
          <w:jc w:val="center"/>
        </w:trPr>
        <w:tc>
          <w:tcPr>
            <w:cnfStyle w:val="001000000000"/>
            <w:tcW w:w="1962" w:type="dxa"/>
          </w:tcPr>
          <w:p w:rsidR="00874DF4" w:rsidRDefault="00874DF4" w:rsidP="00722C88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874DF4" w:rsidRDefault="00874DF4" w:rsidP="00055170">
            <w:pPr>
              <w:pStyle w:val="ListParagraph"/>
              <w:tabs>
                <w:tab w:val="left" w:pos="3079"/>
              </w:tabs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adjuntado con la guía de remisión para el control de los movimientos contables, indica las cantidades, productos y precios de cada producto que es solicitado por el área de logística al proveedor.</w:t>
            </w:r>
          </w:p>
        </w:tc>
        <w:tc>
          <w:tcPr>
            <w:tcW w:w="2819" w:type="dxa"/>
          </w:tcPr>
          <w:p w:rsidR="00874DF4" w:rsidRDefault="00874DF4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E93FE2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E93FE2" w:rsidRDefault="00E93FE2" w:rsidP="00743CB8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Guía de Remisión</w:t>
            </w:r>
          </w:p>
        </w:tc>
        <w:tc>
          <w:tcPr>
            <w:tcW w:w="3544" w:type="dxa"/>
          </w:tcPr>
          <w:p w:rsidR="00E93FE2" w:rsidRDefault="00E93FE2" w:rsidP="00743C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Documento que es enviado por parte del proveedor ante una orden de compra, como constancia de envío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productos.</w:t>
            </w:r>
          </w:p>
        </w:tc>
        <w:tc>
          <w:tcPr>
            <w:tcW w:w="2819" w:type="dxa"/>
          </w:tcPr>
          <w:p w:rsidR="00E93FE2" w:rsidRDefault="00E93FE2" w:rsidP="00743C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287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ListParagraph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E93FE2" w:rsidRPr="005B2A6C" w:rsidRDefault="00E93FE2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un proveedor específico donde se detalla los productos y cantidades a comprar de los productos o servicios que ofrece.</w:t>
            </w:r>
          </w:p>
        </w:tc>
        <w:tc>
          <w:tcPr>
            <w:tcW w:w="2819" w:type="dxa"/>
          </w:tcPr>
          <w:p w:rsidR="00E93FE2" w:rsidRPr="00707C54" w:rsidRDefault="00E93FE2" w:rsidP="00743CB8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</w:tr>
      <w:tr w:rsidR="00A41638" w:rsidRPr="00A41638" w:rsidTr="00A41638">
        <w:trPr>
          <w:trHeight w:val="145"/>
          <w:jc w:val="center"/>
        </w:trPr>
        <w:tc>
          <w:tcPr>
            <w:cnfStyle w:val="001000000000"/>
            <w:tcW w:w="1962" w:type="dxa"/>
          </w:tcPr>
          <w:p w:rsidR="00A41638" w:rsidRPr="00A41638" w:rsidRDefault="00A41638" w:rsidP="0037776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entradas</w:t>
            </w:r>
          </w:p>
        </w:tc>
        <w:tc>
          <w:tcPr>
            <w:tcW w:w="3544" w:type="dxa"/>
          </w:tcPr>
          <w:p w:rsidR="00A41638" w:rsidRDefault="00F52ABB" w:rsidP="00E93FE2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recopila la información de las entradas de los productos internos y finales según cada almacén, por cantidades según fechas.</w:t>
            </w:r>
          </w:p>
        </w:tc>
        <w:tc>
          <w:tcPr>
            <w:tcW w:w="2819" w:type="dxa"/>
          </w:tcPr>
          <w:p w:rsidR="00A41638" w:rsidRDefault="00A41638">
            <w:pPr>
              <w:cnfStyle w:val="00000000000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F52ABB" w:rsidRPr="00A41638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F52ABB" w:rsidRPr="00A41638" w:rsidRDefault="00F52ABB" w:rsidP="0037776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salidas</w:t>
            </w:r>
          </w:p>
        </w:tc>
        <w:tc>
          <w:tcPr>
            <w:tcW w:w="3544" w:type="dxa"/>
          </w:tcPr>
          <w:p w:rsidR="00F52ABB" w:rsidRDefault="00F52ABB" w:rsidP="00F52ABB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recopila la información de las salidas de los productos internos y finales según cada almacén, por cantidades según fechas.</w:t>
            </w:r>
          </w:p>
        </w:tc>
        <w:tc>
          <w:tcPr>
            <w:tcW w:w="2819" w:type="dxa"/>
          </w:tcPr>
          <w:p w:rsidR="00F52ABB" w:rsidRDefault="00F52ABB">
            <w:pPr>
              <w:cnfStyle w:val="00000010000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F52ABB" w:rsidRPr="00A41638" w:rsidTr="00707C54">
        <w:trPr>
          <w:trHeight w:val="287"/>
          <w:jc w:val="center"/>
        </w:trPr>
        <w:tc>
          <w:tcPr>
            <w:cnfStyle w:val="001000000000"/>
            <w:tcW w:w="1962" w:type="dxa"/>
          </w:tcPr>
          <w:p w:rsidR="00F52ABB" w:rsidRPr="00A41638" w:rsidRDefault="00F52ABB" w:rsidP="00912ED4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inventario de productos por almacén</w:t>
            </w:r>
            <w:r w:rsidR="00912E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F52ABB" w:rsidRDefault="00F52ABB" w:rsidP="00912ED4">
            <w:pPr>
              <w:pStyle w:val="ListParagraph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Reporte de inventarios en base a los reportes de entradas y salidas de productos por almacén.</w:t>
            </w:r>
          </w:p>
        </w:tc>
        <w:tc>
          <w:tcPr>
            <w:tcW w:w="2819" w:type="dxa"/>
          </w:tcPr>
          <w:p w:rsidR="00F52ABB" w:rsidRDefault="00F52ABB">
            <w:pPr>
              <w:cnfStyle w:val="00000000000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A800BE" w:rsidRPr="00A41638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A800BE" w:rsidRDefault="00A800BE" w:rsidP="007F255D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A800BE" w:rsidRDefault="00A800BE" w:rsidP="00A800BE">
            <w:pPr>
              <w:pStyle w:val="ListParagraph"/>
              <w:tabs>
                <w:tab w:val="left" w:pos="3079"/>
              </w:tabs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permite el control de los movimientos contables, indica las cantidades, productos y precios de cada producto que es solicitado por el área de logística al proveedor. Enviado por la gerencia de logística a la gerencia de contabilidad para su debida gestión.</w:t>
            </w:r>
          </w:p>
        </w:tc>
        <w:tc>
          <w:tcPr>
            <w:tcW w:w="2819" w:type="dxa"/>
          </w:tcPr>
          <w:p w:rsidR="00A800BE" w:rsidRDefault="00A800BE" w:rsidP="007F255D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/>
          <w:trHeight w:val="242"/>
        </w:trPr>
        <w:tc>
          <w:tcPr>
            <w:cnfStyle w:val="00100000000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934F73" w:rsidRPr="00E93FE2" w:rsidTr="003013D8">
        <w:trPr>
          <w:cnfStyle w:val="000000100000"/>
          <w:trHeight w:val="562"/>
        </w:trPr>
        <w:tc>
          <w:tcPr>
            <w:cnfStyle w:val="001000000000"/>
            <w:tcW w:w="675" w:type="dxa"/>
            <w:vAlign w:val="center"/>
          </w:tcPr>
          <w:p w:rsidR="00934F73" w:rsidRPr="00E93FE2" w:rsidRDefault="00934F73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934F73" w:rsidRPr="00E93FE2" w:rsidRDefault="00934F73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Align w:val="center"/>
          </w:tcPr>
          <w:p w:rsidR="00934F73" w:rsidRPr="00E93FE2" w:rsidRDefault="00934F73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34F73" w:rsidRPr="00E93FE2" w:rsidRDefault="00934F73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55" w:type="dxa"/>
            <w:vAlign w:val="center"/>
          </w:tcPr>
          <w:p w:rsidR="00934F73" w:rsidRPr="00E93FE2" w:rsidRDefault="00934F73" w:rsidP="003013D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inicia el proceso de gestión logística con la recepción de una solicitud de pedido por parte de una o más áreas solicitantes</w:t>
            </w:r>
          </w:p>
        </w:tc>
        <w:tc>
          <w:tcPr>
            <w:tcW w:w="1701" w:type="dxa"/>
            <w:vAlign w:val="center"/>
          </w:tcPr>
          <w:p w:rsidR="00934F73" w:rsidRPr="00E93FE2" w:rsidRDefault="00934F73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CE687F" w:rsidRPr="00DB046D" w:rsidTr="00CE687F">
        <w:trPr>
          <w:trHeight w:val="695"/>
        </w:trPr>
        <w:tc>
          <w:tcPr>
            <w:cnfStyle w:val="001000000000"/>
            <w:tcW w:w="675" w:type="dxa"/>
            <w:vMerge w:val="restart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Cs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vMerge w:val="restart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Verificar stock</w:t>
            </w: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55" w:type="dxa"/>
            <w:vMerge w:val="restart"/>
            <w:vAlign w:val="center"/>
          </w:tcPr>
          <w:p w:rsidR="00CE687F" w:rsidRPr="00E93FE2" w:rsidRDefault="00CE687F" w:rsidP="00DB046D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De la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>solicitud de pedido, se analiza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cantidad por  producto existente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(si existe stock disponible o no). De esta forma, si no existe stock suficiente se pasará al proceso de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compras de productos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 Por otro lado, si hay stock suficiente,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se enviará</w:t>
            </w:r>
            <w:r w:rsidR="003625D5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solicitud de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 pedido respectiva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, que ayudará a gestionar el control de salidas del almacén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vMerge w:val="restart"/>
            <w:vAlign w:val="center"/>
          </w:tcPr>
          <w:p w:rsidR="00CE687F" w:rsidRPr="00E93FE2" w:rsidRDefault="00CE687F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CE687F" w:rsidRPr="00E93FE2" w:rsidTr="003C72A2">
        <w:trPr>
          <w:cnfStyle w:val="000000100000"/>
          <w:trHeight w:val="695"/>
        </w:trPr>
        <w:tc>
          <w:tcPr>
            <w:cnfStyle w:val="001000000000"/>
            <w:tcW w:w="675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Si hay stock suficiente</w:t>
            </w:r>
          </w:p>
        </w:tc>
        <w:tc>
          <w:tcPr>
            <w:tcW w:w="1955" w:type="dxa"/>
            <w:vMerge/>
            <w:vAlign w:val="center"/>
          </w:tcPr>
          <w:p w:rsidR="00CE687F" w:rsidRPr="00E93FE2" w:rsidRDefault="00CE687F" w:rsidP="003C72A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E687F" w:rsidRPr="00E93FE2" w:rsidRDefault="00CE687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687F" w:rsidRPr="00E93FE2" w:rsidTr="003013D8">
        <w:trPr>
          <w:trHeight w:val="693"/>
        </w:trPr>
        <w:tc>
          <w:tcPr>
            <w:cnfStyle w:val="001000000000"/>
            <w:tcW w:w="675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No existe stock suficiente</w:t>
            </w:r>
          </w:p>
        </w:tc>
        <w:tc>
          <w:tcPr>
            <w:tcW w:w="1955" w:type="dxa"/>
            <w:vMerge/>
            <w:vAlign w:val="center"/>
          </w:tcPr>
          <w:p w:rsidR="00CE687F" w:rsidRPr="00E93FE2" w:rsidRDefault="00CE687F" w:rsidP="003C72A2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E687F" w:rsidRPr="00E93FE2" w:rsidRDefault="00CE687F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D738B" w:rsidRPr="00E93FE2" w:rsidTr="007512CE">
        <w:trPr>
          <w:cnfStyle w:val="000000100000"/>
          <w:trHeight w:val="452"/>
        </w:trPr>
        <w:tc>
          <w:tcPr>
            <w:cnfStyle w:val="001000000000"/>
            <w:tcW w:w="675" w:type="dxa"/>
            <w:vMerge w:val="restart"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No hay stock suficiente</w:t>
            </w:r>
          </w:p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Planificación de Compras</w:t>
            </w:r>
          </w:p>
        </w:tc>
        <w:tc>
          <w:tcPr>
            <w:tcW w:w="1798" w:type="dxa"/>
            <w:vAlign w:val="center"/>
          </w:tcPr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productos internos </w:t>
            </w:r>
          </w:p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realizar la planificación de las compras en base a los tipos de solicitudes, recopilando de esta forma, información de cantidades y tipos de productos más necesitados, de acuerdo a cada área solicitante. De esto, se realizan los planes de planificación de compras asociados al tipo de adquisición.</w:t>
            </w:r>
          </w:p>
        </w:tc>
        <w:tc>
          <w:tcPr>
            <w:tcW w:w="1701" w:type="dxa"/>
            <w:vMerge w:val="restart"/>
            <w:vAlign w:val="center"/>
          </w:tcPr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ED738B" w:rsidRPr="005360A6" w:rsidTr="007512CE">
        <w:trPr>
          <w:trHeight w:val="1105"/>
        </w:trPr>
        <w:tc>
          <w:tcPr>
            <w:cnfStyle w:val="001000000000"/>
            <w:tcW w:w="675" w:type="dxa"/>
            <w:vMerge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vMerge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maquinarias, equipos y bienes</w:t>
            </w:r>
          </w:p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D738B" w:rsidRPr="00E93FE2" w:rsidTr="004E2ED2">
        <w:trPr>
          <w:cnfStyle w:val="000000100000"/>
          <w:trHeight w:val="368"/>
        </w:trPr>
        <w:tc>
          <w:tcPr>
            <w:cnfStyle w:val="001000000000"/>
            <w:tcW w:w="675" w:type="dxa"/>
            <w:vMerge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ED738B" w:rsidRPr="00E93FE2" w:rsidRDefault="00ED738B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ED738B" w:rsidRPr="00E93FE2" w:rsidRDefault="00ED738B" w:rsidP="00151D3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Solicitud de pedido </w:t>
            </w:r>
          </w:p>
        </w:tc>
        <w:tc>
          <w:tcPr>
            <w:tcW w:w="1955" w:type="dxa"/>
            <w:vMerge/>
            <w:vAlign w:val="center"/>
          </w:tcPr>
          <w:p w:rsidR="00ED738B" w:rsidRPr="00E93FE2" w:rsidRDefault="00ED738B" w:rsidP="004C07E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ED738B" w:rsidRPr="00E93FE2" w:rsidRDefault="00ED738B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25D5" w:rsidRPr="00E93FE2" w:rsidTr="004E2ED2">
        <w:trPr>
          <w:trHeight w:val="375"/>
        </w:trPr>
        <w:tc>
          <w:tcPr>
            <w:cnfStyle w:val="001000000000"/>
            <w:tcW w:w="675" w:type="dxa"/>
            <w:vMerge w:val="restart"/>
            <w:vAlign w:val="center"/>
          </w:tcPr>
          <w:p w:rsidR="003625D5" w:rsidRPr="00E93FE2" w:rsidRDefault="001A54CA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3625D5" w:rsidRPr="00E93FE2" w:rsidRDefault="00ED738B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maquinarias, equipos y bienes</w:t>
            </w:r>
          </w:p>
        </w:tc>
        <w:tc>
          <w:tcPr>
            <w:tcW w:w="1917" w:type="dxa"/>
            <w:vMerge w:val="restart"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Definir tipo de adquisición</w:t>
            </w:r>
          </w:p>
        </w:tc>
        <w:tc>
          <w:tcPr>
            <w:tcW w:w="1798" w:type="dxa"/>
            <w:vMerge w:val="restart"/>
            <w:vAlign w:val="center"/>
          </w:tcPr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 w:val="restart"/>
            <w:vAlign w:val="center"/>
          </w:tcPr>
          <w:p w:rsidR="003625D5" w:rsidRPr="00E93FE2" w:rsidRDefault="003625D5" w:rsidP="004C07E0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define el tipo de adquisición para cada proceso de compra. De esta forma, el tipo de compra está definido de dos </w:t>
            </w:r>
            <w:r w:rsidR="004C07E0" w:rsidRPr="00E93FE2">
              <w:rPr>
                <w:rFonts w:asciiTheme="minorHAnsi" w:hAnsiTheme="minorHAnsi" w:cstheme="minorHAnsi"/>
                <w:sz w:val="20"/>
                <w:szCs w:val="20"/>
              </w:rPr>
              <w:t>maneras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: Se pueden realizar compras de productos internos que serán adquiridas de acuerdo al plan de compras de productos internos. Por otro lado,  se pueden realizar la adquisición de maquinarias, equipos y bienes, las cuales están </w:t>
            </w:r>
            <w:r w:rsidR="00CF0A43" w:rsidRPr="00E93FE2">
              <w:rPr>
                <w:rFonts w:asciiTheme="minorHAnsi" w:hAnsiTheme="minorHAnsi" w:cstheme="minorHAnsi"/>
                <w:sz w:val="20"/>
                <w:szCs w:val="20"/>
              </w:rPr>
              <w:t>definidas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acuerdo al plan de adquisición de maquinarias, equipos y bienes. Asimismo, se le 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enviará la solicitud 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 pedidos.</w:t>
            </w:r>
          </w:p>
        </w:tc>
        <w:tc>
          <w:tcPr>
            <w:tcW w:w="1701" w:type="dxa"/>
            <w:vMerge w:val="restart"/>
            <w:vAlign w:val="center"/>
          </w:tcPr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3625D5" w:rsidRPr="005360A6" w:rsidTr="004E2ED2">
        <w:trPr>
          <w:cnfStyle w:val="000000100000"/>
          <w:trHeight w:val="244"/>
        </w:trPr>
        <w:tc>
          <w:tcPr>
            <w:cnfStyle w:val="001000000000"/>
            <w:tcW w:w="675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512CE" w:rsidRPr="00E93FE2" w:rsidRDefault="00ED738B" w:rsidP="007512C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productos internos </w:t>
            </w:r>
          </w:p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3625D5" w:rsidRPr="00E93FE2" w:rsidRDefault="003625D5" w:rsidP="00950AD7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12CE" w:rsidRPr="005360A6" w:rsidTr="007512CE">
        <w:trPr>
          <w:trHeight w:val="753"/>
        </w:trPr>
        <w:tc>
          <w:tcPr>
            <w:cnfStyle w:val="001000000000"/>
            <w:tcW w:w="675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12CE" w:rsidRPr="00E93FE2" w:rsidRDefault="007512C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7512CE" w:rsidRPr="00E93FE2" w:rsidRDefault="007512C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55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12CE" w:rsidRPr="00E93FE2" w:rsidRDefault="007512C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12CE" w:rsidRPr="00E93FE2" w:rsidTr="003625D5">
        <w:trPr>
          <w:cnfStyle w:val="000000100000"/>
          <w:trHeight w:val="737"/>
        </w:trPr>
        <w:tc>
          <w:tcPr>
            <w:cnfStyle w:val="001000000000"/>
            <w:tcW w:w="675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512CE" w:rsidRPr="00E93FE2" w:rsidRDefault="007512CE" w:rsidP="007512C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12CE" w:rsidRPr="00E93FE2" w:rsidRDefault="007512CE" w:rsidP="007512C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12CE" w:rsidRPr="00E93FE2" w:rsidRDefault="007512CE" w:rsidP="00151D3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Solicitud de Pedido </w:t>
            </w:r>
          </w:p>
        </w:tc>
        <w:tc>
          <w:tcPr>
            <w:tcW w:w="1917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7512CE" w:rsidRPr="00E93FE2" w:rsidRDefault="007512C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7512CE" w:rsidRPr="00E93FE2" w:rsidRDefault="007512CE" w:rsidP="003013D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12CE" w:rsidRPr="00E93FE2" w:rsidRDefault="007512C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25D5" w:rsidRPr="00E93FE2" w:rsidTr="002C4EE5">
        <w:trPr>
          <w:trHeight w:val="1482"/>
        </w:trPr>
        <w:tc>
          <w:tcPr>
            <w:cnfStyle w:val="001000000000"/>
            <w:tcW w:w="675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3625D5" w:rsidRPr="00E93FE2" w:rsidRDefault="003625D5" w:rsidP="00151D3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vMerge/>
            <w:vAlign w:val="center"/>
          </w:tcPr>
          <w:p w:rsidR="003625D5" w:rsidRPr="00E93FE2" w:rsidRDefault="003625D5" w:rsidP="003013D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25D5" w:rsidRPr="00E93FE2" w:rsidRDefault="003625D5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51BCF" w:rsidRPr="00E93FE2" w:rsidTr="00A51BCF">
        <w:trPr>
          <w:cnfStyle w:val="000000100000"/>
          <w:trHeight w:val="2453"/>
        </w:trPr>
        <w:tc>
          <w:tcPr>
            <w:cnfStyle w:val="001000000000"/>
            <w:tcW w:w="675" w:type="dxa"/>
            <w:vMerge w:val="restart"/>
            <w:vAlign w:val="center"/>
          </w:tcPr>
          <w:p w:rsidR="00A51BCF" w:rsidRPr="00E93FE2" w:rsidRDefault="00A51BC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51BCF" w:rsidRPr="00E93FE2" w:rsidRDefault="00A51BCF" w:rsidP="003013D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Gestión de contratos de bienes, maquinarias y equipos</w:t>
            </w:r>
          </w:p>
        </w:tc>
        <w:tc>
          <w:tcPr>
            <w:tcW w:w="1798" w:type="dxa"/>
            <w:vAlign w:val="center"/>
          </w:tcPr>
          <w:p w:rsidR="00A51BCF" w:rsidRPr="00E93FE2" w:rsidRDefault="00A51BCF" w:rsidP="00A51BCF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  <w:vMerge w:val="restart"/>
            <w:vAlign w:val="center"/>
          </w:tcPr>
          <w:p w:rsidR="00A51BCF" w:rsidRDefault="00A51BCF" w:rsidP="004A6D8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A6D82">
              <w:rPr>
                <w:rFonts w:asciiTheme="minorHAnsi" w:hAnsiTheme="minorHAnsi" w:cstheme="minorHAnsi"/>
                <w:sz w:val="20"/>
                <w:szCs w:val="20"/>
              </w:rPr>
              <w:t xml:space="preserve">Se encarga de la realización de contratos de bienes, maquinarias o equipos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(de acuerdo al plan de adquisición de maquinarias, equipos y bienes) </w:t>
            </w:r>
            <w:r w:rsidRPr="004A6D82">
              <w:rPr>
                <w:rFonts w:asciiTheme="minorHAnsi" w:hAnsiTheme="minorHAnsi" w:cstheme="minorHAnsi"/>
                <w:sz w:val="20"/>
                <w:szCs w:val="20"/>
              </w:rPr>
              <w:t>que impliquen un valor económico elevado y que sean considerados como activos fijos de la empresa. Estos contratos se regirán en base a términos legales, económicos y de transporte (para el caso de importaciones).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 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os contratos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gestionados (portafolio de contratos) seguirán un proceso de evaluación por la gerencia legal, de los cuales, posteriormente se recibirá un resultado de aprobación o desaprobación (resultados del portafolio de contratos). Una vez aprobado un contrato esté se añadirá al Portafolio de contratos realizados.</w:t>
            </w:r>
          </w:p>
          <w:p w:rsidR="00A51BCF" w:rsidRPr="00E93FE2" w:rsidRDefault="00A51BCF" w:rsidP="004A6D82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A51BCF" w:rsidRPr="00E93FE2" w:rsidTr="002B00EE">
        <w:trPr>
          <w:trHeight w:val="2453"/>
        </w:trPr>
        <w:tc>
          <w:tcPr>
            <w:cnfStyle w:val="001000000000"/>
            <w:tcW w:w="675" w:type="dxa"/>
            <w:vMerge/>
            <w:vAlign w:val="center"/>
          </w:tcPr>
          <w:p w:rsidR="00A51BCF" w:rsidRPr="00E93FE2" w:rsidRDefault="00A51BCF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/>
            <w:vAlign w:val="center"/>
          </w:tcPr>
          <w:p w:rsidR="00A51BCF" w:rsidRPr="00E93FE2" w:rsidRDefault="00A51BCF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A51BCF" w:rsidRDefault="00A51BCF" w:rsidP="00A51BCF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/>
            <w:vAlign w:val="center"/>
          </w:tcPr>
          <w:p w:rsidR="00A51BCF" w:rsidRPr="004A6D82" w:rsidRDefault="00A51BCF" w:rsidP="004A6D82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51BCF" w:rsidRPr="00E93FE2" w:rsidRDefault="00A51BCF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3969" w:rsidRPr="009E4C14" w:rsidTr="003013D8">
        <w:trPr>
          <w:cnfStyle w:val="000000100000"/>
          <w:trHeight w:val="245"/>
        </w:trPr>
        <w:tc>
          <w:tcPr>
            <w:cnfStyle w:val="001000000000"/>
            <w:tcW w:w="675" w:type="dxa"/>
            <w:vAlign w:val="center"/>
          </w:tcPr>
          <w:p w:rsidR="00AA3969" w:rsidRPr="00E93FE2" w:rsidRDefault="001A54CA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AA3969" w:rsidRPr="00E93FE2" w:rsidRDefault="00AA3969" w:rsidP="00A51BCF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Align w:val="center"/>
          </w:tcPr>
          <w:p w:rsidR="00AA3969" w:rsidRPr="00E93FE2" w:rsidRDefault="00AA3969" w:rsidP="00E43E8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Gestión de Contratos</w:t>
            </w:r>
          </w:p>
        </w:tc>
        <w:tc>
          <w:tcPr>
            <w:tcW w:w="1798" w:type="dxa"/>
            <w:vAlign w:val="center"/>
          </w:tcPr>
          <w:p w:rsidR="00AA3969" w:rsidRPr="009E4C14" w:rsidRDefault="00A51BCF" w:rsidP="00A51BCF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="009E4C14"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Align w:val="center"/>
          </w:tcPr>
          <w:p w:rsidR="009E4C14" w:rsidRDefault="00CF0A43" w:rsidP="00A51BCF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evaluar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consistencia legal de los contratos, de acuerdo a los 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estándares y políticas de empresa, así posteriormente poder continuar con el flujo correspondiente del proceso.</w:t>
            </w:r>
            <w:r w:rsidR="009E4C14">
              <w:rPr>
                <w:rFonts w:asciiTheme="minorHAnsi" w:hAnsiTheme="minorHAnsi" w:cstheme="minorHAnsi"/>
                <w:sz w:val="20"/>
                <w:szCs w:val="20"/>
              </w:rPr>
              <w:t xml:space="preserve"> De esta forma, una vez realizada la evaluación, la gerencia legal se encargará de enviar a la gerencia de logística el 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 xml:space="preserve">resultado obtenido de la evaluación del </w:t>
            </w:r>
            <w:r w:rsidR="009E4C14">
              <w:rPr>
                <w:rFonts w:asciiTheme="minorHAnsi" w:hAnsiTheme="minorHAnsi" w:cstheme="minorHAnsi"/>
                <w:sz w:val="20"/>
                <w:szCs w:val="20"/>
              </w:rPr>
              <w:t xml:space="preserve">portafolio de 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>contratos.</w:t>
            </w:r>
          </w:p>
          <w:p w:rsidR="00A51BCF" w:rsidRPr="00E93FE2" w:rsidRDefault="00A51BCF" w:rsidP="00A51BCF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3969" w:rsidRPr="00E93FE2" w:rsidRDefault="001A54CA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Legal</w:t>
            </w:r>
          </w:p>
        </w:tc>
      </w:tr>
      <w:tr w:rsidR="00AA3969" w:rsidRPr="00E93FE2" w:rsidTr="00DE10E4">
        <w:trPr>
          <w:trHeight w:val="1223"/>
        </w:trPr>
        <w:tc>
          <w:tcPr>
            <w:cnfStyle w:val="001000000000"/>
            <w:tcW w:w="675" w:type="dxa"/>
            <w:vMerge w:val="restart"/>
            <w:vAlign w:val="center"/>
          </w:tcPr>
          <w:p w:rsidR="00AA3969" w:rsidRPr="00E93FE2" w:rsidRDefault="001A54CA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AA3969" w:rsidRPr="00E93FE2" w:rsidRDefault="00AA3969" w:rsidP="004E2ED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  <w:p w:rsidR="00AA3969" w:rsidRPr="00E93FE2" w:rsidRDefault="00AA3969" w:rsidP="001B7F7F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A3969" w:rsidRPr="00E93FE2" w:rsidRDefault="00AA3969" w:rsidP="00E43E8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Compras de productos internos</w:t>
            </w:r>
          </w:p>
        </w:tc>
        <w:tc>
          <w:tcPr>
            <w:tcW w:w="1798" w:type="dxa"/>
            <w:vAlign w:val="center"/>
          </w:tcPr>
          <w:p w:rsidR="00AA3969" w:rsidRPr="00E93FE2" w:rsidRDefault="00AA3969" w:rsidP="003013D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  <w:vAlign w:val="center"/>
          </w:tcPr>
          <w:p w:rsidR="00AA3969" w:rsidRPr="00E93FE2" w:rsidRDefault="00CF0A43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encarga de realizar </w:t>
            </w:r>
            <w:r w:rsidR="008A7863" w:rsidRPr="00E93FE2">
              <w:rPr>
                <w:rFonts w:asciiTheme="minorHAnsi" w:hAnsiTheme="minorHAnsi" w:cstheme="minorHAnsi"/>
                <w:sz w:val="20"/>
                <w:szCs w:val="20"/>
              </w:rPr>
              <w:t>las órdenes de compra, destinadas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al proveedor, en base a los productos solicitados por las áreas. Una vez tramitada  la orden de compra, se enviará  la solicitud de pedido respectiva al responsable interesado, que ayudará a gestionar el control de salidas del almacén.</w:t>
            </w:r>
          </w:p>
          <w:p w:rsidR="00AA3969" w:rsidRPr="00E93FE2" w:rsidRDefault="00AA3969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A3969" w:rsidRPr="00E93FE2" w:rsidRDefault="00AA3969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AA3969" w:rsidRPr="00E93FE2" w:rsidTr="003013D8">
        <w:trPr>
          <w:cnfStyle w:val="000000100000"/>
          <w:trHeight w:val="1222"/>
        </w:trPr>
        <w:tc>
          <w:tcPr>
            <w:cnfStyle w:val="001000000000"/>
            <w:tcW w:w="675" w:type="dxa"/>
            <w:vMerge/>
            <w:vAlign w:val="center"/>
          </w:tcPr>
          <w:p w:rsidR="00AA3969" w:rsidRPr="00E93FE2" w:rsidRDefault="00AA3969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A3969" w:rsidRPr="00E93FE2" w:rsidRDefault="00AA3969" w:rsidP="00CF0A43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E864DD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17" w:type="dxa"/>
            <w:vMerge/>
            <w:vAlign w:val="center"/>
          </w:tcPr>
          <w:p w:rsidR="00AA3969" w:rsidRPr="00E93FE2" w:rsidRDefault="00AA3969" w:rsidP="00E43E8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AA3969" w:rsidRPr="00E93FE2" w:rsidRDefault="00AA3969" w:rsidP="00CF0A43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E864DD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vMerge/>
            <w:vAlign w:val="center"/>
          </w:tcPr>
          <w:p w:rsidR="00AA3969" w:rsidRPr="00E93FE2" w:rsidRDefault="00AA3969" w:rsidP="00E43E81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A3969" w:rsidRPr="00E93FE2" w:rsidRDefault="00AA3969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EE" w:rsidRPr="00E93FE2" w:rsidTr="001B1FBE">
        <w:trPr>
          <w:trHeight w:val="120"/>
        </w:trPr>
        <w:tc>
          <w:tcPr>
            <w:cnfStyle w:val="001000000000"/>
            <w:tcW w:w="675" w:type="dxa"/>
            <w:vMerge w:val="restart"/>
            <w:vAlign w:val="center"/>
          </w:tcPr>
          <w:p w:rsidR="00753EEE" w:rsidRPr="00E93FE2" w:rsidRDefault="001A54CA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vMerge w:val="restart"/>
            <w:vAlign w:val="center"/>
          </w:tcPr>
          <w:p w:rsidR="00753EEE" w:rsidRPr="00E93FE2" w:rsidRDefault="00753EEE" w:rsidP="004E2ED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Entrega de producto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</w:tc>
        <w:tc>
          <w:tcPr>
            <w:tcW w:w="1955" w:type="dxa"/>
            <w:vMerge w:val="restart"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realiza la entrega del producto de acuerdo a las líneas especificadas en la orden de compra. El proveedor se encarga de realizar la guía de remisión, que permite la verificar de la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entrada de productos.  Asimismo, se realizará la entrega de la factura para la cancelación de cuentas o saldos.</w:t>
            </w:r>
          </w:p>
        </w:tc>
        <w:tc>
          <w:tcPr>
            <w:tcW w:w="1701" w:type="dxa"/>
            <w:vMerge w:val="restart"/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  <w:tr w:rsidR="00753EEE" w:rsidRPr="00E93FE2" w:rsidTr="00753EEE">
        <w:trPr>
          <w:cnfStyle w:val="000000100000"/>
          <w:trHeight w:val="2277"/>
        </w:trPr>
        <w:tc>
          <w:tcPr>
            <w:cnfStyle w:val="001000000000"/>
            <w:tcW w:w="675" w:type="dxa"/>
            <w:vMerge/>
            <w:vAlign w:val="center"/>
          </w:tcPr>
          <w:p w:rsidR="00753EEE" w:rsidRPr="00E93FE2" w:rsidRDefault="00753EE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3EEE" w:rsidRPr="00E93FE2" w:rsidRDefault="00753EEE" w:rsidP="004E2ED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EE" w:rsidRPr="00E93FE2" w:rsidTr="00E25FDC">
        <w:trPr>
          <w:trHeight w:val="1624"/>
        </w:trPr>
        <w:tc>
          <w:tcPr>
            <w:cnfStyle w:val="001000000000"/>
            <w:tcW w:w="675" w:type="dxa"/>
            <w:vMerge/>
            <w:vAlign w:val="center"/>
          </w:tcPr>
          <w:p w:rsidR="00753EEE" w:rsidRPr="00E93FE2" w:rsidRDefault="00753EEE" w:rsidP="003013D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3EEE" w:rsidRPr="00E93FE2" w:rsidRDefault="00753EEE" w:rsidP="004E2ED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/>
            <w:vAlign w:val="center"/>
          </w:tcPr>
          <w:p w:rsidR="00753EEE" w:rsidRPr="00E93FE2" w:rsidRDefault="00753EEE" w:rsidP="00E43E81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EE" w:rsidRPr="00E93FE2" w:rsidRDefault="00753EEE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13852" w:rsidRPr="00E93FE2" w:rsidTr="00DE10E4">
        <w:trPr>
          <w:cnfStyle w:val="000000100000"/>
          <w:trHeight w:val="1222"/>
        </w:trPr>
        <w:tc>
          <w:tcPr>
            <w:cnfStyle w:val="001000000000"/>
            <w:tcW w:w="675" w:type="dxa"/>
            <w:vMerge w:val="restart"/>
          </w:tcPr>
          <w:p w:rsidR="00713852" w:rsidRPr="00E93FE2" w:rsidRDefault="00D644CB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127" w:type="dxa"/>
            <w:vAlign w:val="center"/>
          </w:tcPr>
          <w:p w:rsidR="00713852" w:rsidRPr="00E93FE2" w:rsidRDefault="00713852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</w:tc>
        <w:tc>
          <w:tcPr>
            <w:tcW w:w="1917" w:type="dxa"/>
            <w:vMerge w:val="restart"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F2257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Recepción de productos </w:t>
            </w:r>
          </w:p>
        </w:tc>
        <w:tc>
          <w:tcPr>
            <w:tcW w:w="1798" w:type="dxa"/>
            <w:vAlign w:val="center"/>
          </w:tcPr>
          <w:p w:rsidR="00713852" w:rsidRPr="00E93FE2" w:rsidRDefault="00713852" w:rsidP="008A7863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</w:tc>
        <w:tc>
          <w:tcPr>
            <w:tcW w:w="1955" w:type="dxa"/>
            <w:vMerge w:val="restart"/>
          </w:tcPr>
          <w:p w:rsidR="00713852" w:rsidRDefault="00713852" w:rsidP="00F2257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Control del ingreso del producto al almacén destino, en base a la guía de remisión y orden de compra. Además, se recibe la factura que posteriormente 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guirá un proceso de cancelación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13852" w:rsidRDefault="00713852" w:rsidP="00F2257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Default="00713852" w:rsidP="00F2257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Se elaborará un reporte de entradas donde se verán reflejados de forma detallada las compras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realizadas (ingresos de productos).</w:t>
            </w:r>
          </w:p>
          <w:p w:rsidR="00713852" w:rsidRPr="00E93FE2" w:rsidRDefault="00713852" w:rsidP="00F2257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713852" w:rsidRPr="00E93FE2" w:rsidTr="00CB2AB9">
        <w:trPr>
          <w:trHeight w:val="234"/>
        </w:trPr>
        <w:tc>
          <w:tcPr>
            <w:cnfStyle w:val="001000000000"/>
            <w:tcW w:w="675" w:type="dxa"/>
            <w:vMerge/>
          </w:tcPr>
          <w:p w:rsidR="00713852" w:rsidRPr="00E93FE2" w:rsidRDefault="00713852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13852" w:rsidRPr="00E93FE2" w:rsidRDefault="00713852" w:rsidP="00E55CA7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  <w:p w:rsidR="00713852" w:rsidRPr="00E93FE2" w:rsidRDefault="00713852" w:rsidP="006C09FE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</w:tcPr>
          <w:p w:rsidR="00713852" w:rsidRPr="00E93FE2" w:rsidRDefault="00713852" w:rsidP="0071385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955" w:type="dxa"/>
            <w:vMerge/>
          </w:tcPr>
          <w:p w:rsidR="00713852" w:rsidRPr="00E93FE2" w:rsidRDefault="00713852" w:rsidP="006C09FE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13852" w:rsidRPr="00E93FE2" w:rsidTr="00E242A4">
        <w:trPr>
          <w:cnfStyle w:val="000000100000"/>
          <w:trHeight w:val="2092"/>
        </w:trPr>
        <w:tc>
          <w:tcPr>
            <w:cnfStyle w:val="001000000000"/>
            <w:tcW w:w="675" w:type="dxa"/>
            <w:vMerge/>
          </w:tcPr>
          <w:p w:rsidR="00713852" w:rsidRPr="00E93FE2" w:rsidRDefault="00713852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13852" w:rsidRPr="00E93FE2" w:rsidRDefault="00713852" w:rsidP="00E55CA7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  <w:p w:rsidR="00713852" w:rsidRPr="00E93FE2" w:rsidRDefault="00713852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713852" w:rsidRPr="00E93FE2" w:rsidRDefault="00713852" w:rsidP="00F02D5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713852" w:rsidRPr="00E93FE2" w:rsidRDefault="00713852" w:rsidP="006C09FE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13852" w:rsidRPr="00E93FE2" w:rsidRDefault="00713852" w:rsidP="006C09FE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3969" w:rsidRPr="00E93FE2" w:rsidTr="000072D9">
        <w:trPr>
          <w:trHeight w:val="180"/>
        </w:trPr>
        <w:tc>
          <w:tcPr>
            <w:cnfStyle w:val="001000000000"/>
            <w:tcW w:w="675" w:type="dxa"/>
          </w:tcPr>
          <w:p w:rsidR="00AA3969" w:rsidRPr="00E93FE2" w:rsidRDefault="00AA3969" w:rsidP="00D644C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AA3969" w:rsidRPr="00E93FE2" w:rsidRDefault="00AA3969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917" w:type="dxa"/>
          </w:tcPr>
          <w:p w:rsidR="00AA3969" w:rsidRPr="00E93FE2" w:rsidRDefault="00AA3969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Cuentas por Pagar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AA3969" w:rsidRPr="00E93FE2" w:rsidRDefault="008A7863" w:rsidP="008A7863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AA3969" w:rsidRPr="00E93FE2" w:rsidRDefault="00AA3969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realizar las cancelaciones de deudas y pagos a los proveedores en base a la factura que estos emiten.</w:t>
            </w:r>
          </w:p>
        </w:tc>
        <w:tc>
          <w:tcPr>
            <w:tcW w:w="1701" w:type="dxa"/>
            <w:vAlign w:val="center"/>
          </w:tcPr>
          <w:p w:rsidR="00AA3969" w:rsidRPr="00E93FE2" w:rsidRDefault="00AA3969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Contabilidad</w:t>
            </w:r>
          </w:p>
        </w:tc>
      </w:tr>
      <w:tr w:rsidR="00AA3969" w:rsidRPr="00E93FE2" w:rsidTr="000072D9">
        <w:trPr>
          <w:cnfStyle w:val="000000100000"/>
          <w:trHeight w:val="180"/>
        </w:trPr>
        <w:tc>
          <w:tcPr>
            <w:cnfStyle w:val="001000000000"/>
            <w:tcW w:w="675" w:type="dxa"/>
          </w:tcPr>
          <w:p w:rsidR="00AA3969" w:rsidRPr="00E93FE2" w:rsidRDefault="00AA3969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AA3969" w:rsidRPr="00E93FE2" w:rsidRDefault="00AA3969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</w:tcPr>
          <w:p w:rsidR="00AA3969" w:rsidRPr="00E93FE2" w:rsidRDefault="0054297F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Consolidar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Solicitud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AA3969" w:rsidRPr="00E93FE2" w:rsidRDefault="00AA3969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</w:t>
            </w:r>
            <w:r w:rsidR="0054297F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955" w:type="dxa"/>
          </w:tcPr>
          <w:p w:rsidR="003D08B8" w:rsidRDefault="003D08B8" w:rsidP="003D08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>e encarga de la distribución de solicitudes recibidas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dos escenarios diferentes:</w:t>
            </w:r>
          </w:p>
          <w:p w:rsidR="00AA3969" w:rsidRDefault="003D08B8" w:rsidP="003D08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primero,  está dado e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n el caso de que exista stock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 el segundo,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luego de realizado el proceso de compra (si no existe stock),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esta forma permitirá saber al proceso de abastecimiento de productos internos y finales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qué y a quién abastecer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>.  Dicha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distribución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solicitudes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además permitirá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 xml:space="preserve"> el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control de salidas del </w:t>
            </w:r>
            <w:r w:rsidR="00812D4A" w:rsidRPr="00E93FE2"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6F48BA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D08B8" w:rsidRPr="00E93FE2" w:rsidRDefault="003D08B8" w:rsidP="003D08B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3969" w:rsidRPr="00E93FE2" w:rsidRDefault="00AA3969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713852" w:rsidRPr="00E46803" w:rsidTr="00AB1B71">
        <w:trPr>
          <w:trHeight w:val="1653"/>
        </w:trPr>
        <w:tc>
          <w:tcPr>
            <w:cnfStyle w:val="001000000000"/>
            <w:tcW w:w="675" w:type="dxa"/>
            <w:vMerge w:val="restart"/>
          </w:tcPr>
          <w:p w:rsidR="00713852" w:rsidRPr="00E93FE2" w:rsidRDefault="00713852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713852" w:rsidRPr="00E93FE2" w:rsidRDefault="00713852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917" w:type="dxa"/>
            <w:vMerge w:val="restart"/>
          </w:tcPr>
          <w:p w:rsidR="00713852" w:rsidRPr="00E93FE2" w:rsidRDefault="00713852" w:rsidP="00F2257C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Abastecimiento de productos </w:t>
            </w:r>
          </w:p>
        </w:tc>
        <w:tc>
          <w:tcPr>
            <w:tcW w:w="1798" w:type="dxa"/>
            <w:vMerge w:val="restart"/>
          </w:tcPr>
          <w:p w:rsidR="00713852" w:rsidRPr="00E93FE2" w:rsidRDefault="00713852" w:rsidP="001B7F7F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salidas</w:t>
            </w:r>
          </w:p>
        </w:tc>
        <w:tc>
          <w:tcPr>
            <w:tcW w:w="1955" w:type="dxa"/>
            <w:vMerge w:val="restart"/>
          </w:tcPr>
          <w:p w:rsidR="00713852" w:rsidRPr="00E93FE2" w:rsidRDefault="00713852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encarga de realizar el abastecimiento de los productos adquiridos de acuerdo a </w:t>
            </w:r>
            <w:r w:rsidR="00E46803">
              <w:rPr>
                <w:rFonts w:asciiTheme="minorHAnsi" w:hAnsiTheme="minorHAnsi" w:cstheme="minorHAnsi"/>
                <w:sz w:val="20"/>
                <w:szCs w:val="20"/>
              </w:rPr>
              <w:t>la solicitud de pedido por área</w:t>
            </w:r>
            <w:r w:rsidR="004153D3">
              <w:rPr>
                <w:rFonts w:asciiTheme="minorHAnsi" w:hAnsiTheme="minorHAnsi" w:cstheme="minorHAnsi"/>
                <w:sz w:val="20"/>
                <w:szCs w:val="20"/>
              </w:rPr>
              <w:t>. Este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 abastecimiento de productos se realiza en base a los ingresos al almacén, los cuales se ven reflejados en el reporte de entradas</w:t>
            </w:r>
            <w:r w:rsidR="00E468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713852" w:rsidRPr="00E93FE2" w:rsidRDefault="00713852" w:rsidP="00722C88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Default="00713852" w:rsidP="008A7863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Además, elaborará el reporte de salidas  que permita llevar el adecuado control del inventariado.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713852" w:rsidRDefault="00713852" w:rsidP="008A7863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8A7863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13852" w:rsidRPr="00E93FE2" w:rsidRDefault="00713852" w:rsidP="00722C88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713852" w:rsidRPr="00E46803" w:rsidTr="00BE1BDD">
        <w:trPr>
          <w:cnfStyle w:val="000000100000"/>
          <w:trHeight w:val="1222"/>
        </w:trPr>
        <w:tc>
          <w:tcPr>
            <w:cnfStyle w:val="001000000000"/>
            <w:tcW w:w="675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3852" w:rsidRPr="00E93FE2" w:rsidRDefault="00713852" w:rsidP="00F02D5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  <w:p w:rsidR="00713852" w:rsidRPr="00E93FE2" w:rsidRDefault="00713852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341517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13852" w:rsidRPr="00E93FE2" w:rsidRDefault="00713852" w:rsidP="00722C88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4B85" w:rsidRPr="00E93FE2" w:rsidTr="00C97487">
        <w:trPr>
          <w:trHeight w:val="765"/>
        </w:trPr>
        <w:tc>
          <w:tcPr>
            <w:cnfStyle w:val="001000000000"/>
            <w:tcW w:w="675" w:type="dxa"/>
            <w:vMerge w:val="restart"/>
          </w:tcPr>
          <w:p w:rsidR="00364B85" w:rsidRPr="00E93FE2" w:rsidRDefault="0054297F" w:rsidP="002D298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364B85" w:rsidRPr="00E93FE2" w:rsidRDefault="00364B85" w:rsidP="00FB3650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</w:tc>
        <w:tc>
          <w:tcPr>
            <w:tcW w:w="1917" w:type="dxa"/>
            <w:vMerge w:val="restart"/>
          </w:tcPr>
          <w:p w:rsidR="00364B85" w:rsidRPr="00E93FE2" w:rsidRDefault="00364B85" w:rsidP="002D298B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Inventario de productos por almacén</w:t>
            </w:r>
          </w:p>
        </w:tc>
        <w:tc>
          <w:tcPr>
            <w:tcW w:w="1798" w:type="dxa"/>
            <w:vMerge w:val="restart"/>
          </w:tcPr>
          <w:p w:rsidR="00364B85" w:rsidRPr="00E93FE2" w:rsidRDefault="00364B85" w:rsidP="00912ED4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inventario de productos por almacén</w:t>
            </w:r>
          </w:p>
        </w:tc>
        <w:tc>
          <w:tcPr>
            <w:tcW w:w="1955" w:type="dxa"/>
            <w:vMerge w:val="restart"/>
          </w:tcPr>
          <w:p w:rsidR="00364B85" w:rsidRDefault="00364B85" w:rsidP="002D298B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Realización de control de inventarios por productos según almacén y control de mermas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, en base al reporte de entradas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recibidas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 por el proceso de recepción de productos y el reporte de salidas recibo por el proceso de abastecimiento de productos.</w:t>
            </w:r>
          </w:p>
          <w:p w:rsidR="00D644CB" w:rsidRPr="00E93FE2" w:rsidRDefault="00D644CB" w:rsidP="002D298B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64B85" w:rsidRPr="00E93FE2" w:rsidRDefault="00364B85" w:rsidP="00793D02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364B85" w:rsidRPr="00E93FE2" w:rsidTr="00785BA0">
        <w:trPr>
          <w:cnfStyle w:val="000000100000"/>
          <w:trHeight w:val="450"/>
        </w:trPr>
        <w:tc>
          <w:tcPr>
            <w:cnfStyle w:val="001000000000"/>
            <w:tcW w:w="675" w:type="dxa"/>
            <w:vMerge/>
          </w:tcPr>
          <w:p w:rsidR="00364B85" w:rsidRPr="00E93FE2" w:rsidRDefault="00364B85" w:rsidP="002D298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364B85" w:rsidRPr="00E93FE2" w:rsidRDefault="00364B85" w:rsidP="00FB3650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Reporte de salidas  </w:t>
            </w:r>
          </w:p>
        </w:tc>
        <w:tc>
          <w:tcPr>
            <w:tcW w:w="1917" w:type="dxa"/>
            <w:vMerge/>
          </w:tcPr>
          <w:p w:rsidR="00364B85" w:rsidRPr="00E93FE2" w:rsidRDefault="00364B85" w:rsidP="002D298B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364B85" w:rsidRPr="00E93FE2" w:rsidRDefault="00364B85" w:rsidP="002D298B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364B85" w:rsidRPr="00E93FE2" w:rsidRDefault="00364B85" w:rsidP="002D298B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4B85" w:rsidRPr="00E93FE2" w:rsidRDefault="00364B85" w:rsidP="002D298B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6D82" w:rsidRPr="00E93FE2" w:rsidTr="004A6D82">
        <w:trPr>
          <w:trHeight w:val="821"/>
        </w:trPr>
        <w:tc>
          <w:tcPr>
            <w:cnfStyle w:val="001000000000"/>
            <w:tcW w:w="675" w:type="dxa"/>
            <w:vMerge w:val="restart"/>
          </w:tcPr>
          <w:p w:rsidR="004A6D82" w:rsidRPr="00E93FE2" w:rsidRDefault="004A6D82" w:rsidP="0001699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127" w:type="dxa"/>
          </w:tcPr>
          <w:p w:rsidR="004A6D82" w:rsidRPr="00E93FE2" w:rsidRDefault="004A6D82" w:rsidP="00912ED4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inventario de productos por almacén</w:t>
            </w:r>
          </w:p>
        </w:tc>
        <w:tc>
          <w:tcPr>
            <w:tcW w:w="1917" w:type="dxa"/>
            <w:vMerge w:val="restart"/>
          </w:tcPr>
          <w:p w:rsidR="004A6D82" w:rsidRPr="00E93FE2" w:rsidRDefault="004A6D82" w:rsidP="0001699C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4A6D82" w:rsidRPr="00E93FE2" w:rsidRDefault="004A6D82" w:rsidP="0001699C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4A6D82" w:rsidRDefault="004A6D82" w:rsidP="0001699C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El macro proceso de logística termina en la realización de inventarios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>/o contrat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os realizados.</w:t>
            </w:r>
          </w:p>
          <w:p w:rsidR="004A6D82" w:rsidRPr="00E93FE2" w:rsidRDefault="004A6D82" w:rsidP="0001699C">
            <w:pPr>
              <w:pStyle w:val="ListParagraph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A6D82" w:rsidRPr="00E93FE2" w:rsidRDefault="004A6D82" w:rsidP="0001699C">
            <w:pPr>
              <w:pStyle w:val="ListParagraph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4A6D82" w:rsidRPr="004A6D82" w:rsidTr="00360F64">
        <w:trPr>
          <w:cnfStyle w:val="000000100000"/>
          <w:trHeight w:val="820"/>
        </w:trPr>
        <w:tc>
          <w:tcPr>
            <w:cnfStyle w:val="001000000000"/>
            <w:tcW w:w="675" w:type="dxa"/>
            <w:vMerge/>
          </w:tcPr>
          <w:p w:rsidR="004A6D82" w:rsidRDefault="004A6D82" w:rsidP="0001699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4A6D82" w:rsidRPr="00E93FE2" w:rsidRDefault="00A51BCF" w:rsidP="00912ED4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17" w:type="dxa"/>
            <w:vMerge/>
          </w:tcPr>
          <w:p w:rsidR="004A6D82" w:rsidRPr="00E93FE2" w:rsidRDefault="004A6D82" w:rsidP="0001699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A6D82" w:rsidRPr="00E93FE2" w:rsidRDefault="004A6D82" w:rsidP="0001699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A6D82" w:rsidRPr="00E93FE2" w:rsidRDefault="004A6D82" w:rsidP="0001699C">
            <w:pPr>
              <w:pStyle w:val="ListParagraph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A6D82" w:rsidRPr="00E93FE2" w:rsidRDefault="004A6D82" w:rsidP="0001699C">
            <w:pPr>
              <w:pStyle w:val="ListParagraph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Heading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bookmarkStart w:id="13" w:name="_GoBack"/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6176013" cy="4886515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013" cy="48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1605FC" w:rsidRDefault="001605FC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  <w:proofErr w:type="spellEnd"/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  <w:proofErr w:type="spellEnd"/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Creación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</w:rPr>
              <w:t>documento</w:t>
            </w:r>
            <w:proofErr w:type="spellEnd"/>
          </w:p>
        </w:tc>
        <w:tc>
          <w:tcPr>
            <w:tcW w:w="4140" w:type="dxa"/>
            <w:vAlign w:val="center"/>
          </w:tcPr>
          <w:p w:rsidR="00AB5259" w:rsidRPr="00FD0DF7" w:rsidRDefault="00F831EC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Definición de procesos de primer nivel del macro proceso de Logística</w:t>
            </w:r>
          </w:p>
        </w:tc>
        <w:tc>
          <w:tcPr>
            <w:tcW w:w="126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30/04/11</w:t>
            </w:r>
          </w:p>
        </w:tc>
      </w:tr>
      <w:tr w:rsidR="00DA3131" w:rsidRPr="00DA3131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34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</w:t>
            </w:r>
            <w:proofErr w:type="spellStart"/>
            <w:r w:rsidR="005360A6">
              <w:rPr>
                <w:rFonts w:asciiTheme="minorHAnsi" w:hAnsiTheme="minorHAnsi" w:cstheme="minorHAnsi"/>
              </w:rPr>
              <w:t>document</w:t>
            </w:r>
            <w:r w:rsidR="008B5293">
              <w:rPr>
                <w:rFonts w:asciiTheme="minorHAnsi" w:hAnsiTheme="minorHAnsi" w:cstheme="minorHAnsi"/>
              </w:rPr>
              <w:t>o</w:t>
            </w:r>
            <w:proofErr w:type="spellEnd"/>
          </w:p>
        </w:tc>
        <w:tc>
          <w:tcPr>
            <w:tcW w:w="4140" w:type="dxa"/>
            <w:vAlign w:val="center"/>
          </w:tcPr>
          <w:p w:rsidR="00DA3131" w:rsidRDefault="00AF3711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Correcciones</w:t>
            </w:r>
            <w:r w:rsidR="00DA3131">
              <w:rPr>
                <w:rFonts w:asciiTheme="minorHAnsi" w:hAnsiTheme="minorHAnsi" w:cstheme="minorHAnsi"/>
                <w:lang w:val="es-PE"/>
              </w:rPr>
              <w:t xml:space="preserve"> realizadas en base a las sugerencias de QA y reuniones con el cliente de minería</w:t>
            </w:r>
          </w:p>
        </w:tc>
        <w:tc>
          <w:tcPr>
            <w:tcW w:w="126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11/05/11</w:t>
            </w:r>
          </w:p>
        </w:tc>
      </w:tr>
      <w:tr w:rsidR="005360A6" w:rsidRPr="00DA3131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34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</w:rPr>
              <w:t>document</w:t>
            </w:r>
            <w:r>
              <w:rPr>
                <w:rFonts w:asciiTheme="minorHAnsi" w:hAnsiTheme="minorHAnsi" w:cstheme="minorHAnsi"/>
              </w:rPr>
              <w:t>o</w:t>
            </w:r>
            <w:proofErr w:type="spellEnd"/>
          </w:p>
        </w:tc>
        <w:tc>
          <w:tcPr>
            <w:tcW w:w="414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Correcciones realizadas en base a las sugerencias de QA y reuniones con el cliente de minería</w:t>
            </w:r>
          </w:p>
        </w:tc>
        <w:tc>
          <w:tcPr>
            <w:tcW w:w="126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18</w:t>
            </w:r>
            <w:r>
              <w:rPr>
                <w:rFonts w:asciiTheme="minorHAnsi" w:hAnsiTheme="minorHAnsi" w:cstheme="minorHAnsi"/>
                <w:lang w:val="es-PE"/>
              </w:rPr>
              <w:t>/05/11</w:t>
            </w:r>
          </w:p>
        </w:tc>
      </w:tr>
      <w:bookmarkEnd w:id="7"/>
    </w:tbl>
    <w:p w:rsidR="00D5625C" w:rsidRPr="006F0EAF" w:rsidRDefault="00D5625C" w:rsidP="005B2A6C">
      <w:pPr>
        <w:pStyle w:val="Heading1"/>
        <w:rPr>
          <w:lang w:val="es-ES"/>
        </w:rPr>
      </w:pPr>
    </w:p>
    <w:sectPr w:rsidR="00D5625C" w:rsidRPr="006F0EAF" w:rsidSect="00AE7BD7">
      <w:headerReference w:type="default" r:id="rId12"/>
      <w:footerReference w:type="default" r:id="rId13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BF6" w:rsidRDefault="00D63BF6" w:rsidP="00AE7BD7">
      <w:pPr>
        <w:spacing w:after="0" w:line="240" w:lineRule="auto"/>
      </w:pPr>
      <w:r>
        <w:separator/>
      </w:r>
    </w:p>
  </w:endnote>
  <w:endnote w:type="continuationSeparator" w:id="0">
    <w:p w:rsidR="00D63BF6" w:rsidRDefault="00D63BF6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8B5293">
            <w:rPr>
              <w:noProof/>
            </w:rPr>
            <w:t>11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543CAC">
          <w:pPr>
            <w:pStyle w:val="Footer"/>
            <w:jc w:val="right"/>
          </w:pPr>
          <w:r>
            <w:rPr>
              <w:noProof/>
              <w:lang w:val="es-PE" w:eastAsia="es-PE"/>
            </w:rPr>
          </w:r>
          <w:r w:rsidRPr="00543CAC">
            <w:rPr>
              <w:noProof/>
              <w:lang w:val="es-PE" w:eastAsia="es-PE"/>
            </w:rPr>
            <w:pict>
              <v:group id="Group 1" o:spid="_x0000_s4097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410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4099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4098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BF6" w:rsidRDefault="00D63BF6" w:rsidP="00AE7BD7">
      <w:pPr>
        <w:spacing w:after="0" w:line="240" w:lineRule="auto"/>
      </w:pPr>
      <w:r>
        <w:separator/>
      </w:r>
    </w:p>
  </w:footnote>
  <w:footnote w:type="continuationSeparator" w:id="0">
    <w:p w:rsidR="00D63BF6" w:rsidRDefault="00D63BF6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Pr="00A2466F" w:rsidRDefault="00AE7BD7" w:rsidP="00AE7BD7">
    <w:pPr>
      <w:pStyle w:val="Header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Header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A574B"/>
    <w:rsid w:val="000B134C"/>
    <w:rsid w:val="000B4A09"/>
    <w:rsid w:val="000D54F9"/>
    <w:rsid w:val="000E3D0B"/>
    <w:rsid w:val="000E4366"/>
    <w:rsid w:val="000E50B2"/>
    <w:rsid w:val="001058A4"/>
    <w:rsid w:val="00114AC8"/>
    <w:rsid w:val="00133F0D"/>
    <w:rsid w:val="00136A37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E2567"/>
    <w:rsid w:val="0022190A"/>
    <w:rsid w:val="00240984"/>
    <w:rsid w:val="00265607"/>
    <w:rsid w:val="00274535"/>
    <w:rsid w:val="00286E5E"/>
    <w:rsid w:val="002A1812"/>
    <w:rsid w:val="002A48D4"/>
    <w:rsid w:val="002C4EE5"/>
    <w:rsid w:val="002C69CA"/>
    <w:rsid w:val="002D2332"/>
    <w:rsid w:val="002D60F7"/>
    <w:rsid w:val="002E6BFC"/>
    <w:rsid w:val="003013D8"/>
    <w:rsid w:val="00325F3B"/>
    <w:rsid w:val="003376DE"/>
    <w:rsid w:val="00340F9C"/>
    <w:rsid w:val="00341517"/>
    <w:rsid w:val="003625D5"/>
    <w:rsid w:val="00364B85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F7BDA"/>
    <w:rsid w:val="004125B2"/>
    <w:rsid w:val="004153D3"/>
    <w:rsid w:val="00433C0B"/>
    <w:rsid w:val="004344EC"/>
    <w:rsid w:val="00473C6D"/>
    <w:rsid w:val="00475ED6"/>
    <w:rsid w:val="004A6D82"/>
    <w:rsid w:val="004B5E59"/>
    <w:rsid w:val="004C07E0"/>
    <w:rsid w:val="004C21D8"/>
    <w:rsid w:val="004E2ED2"/>
    <w:rsid w:val="00521B4A"/>
    <w:rsid w:val="005344E7"/>
    <w:rsid w:val="005360A6"/>
    <w:rsid w:val="0054297F"/>
    <w:rsid w:val="00543CAC"/>
    <w:rsid w:val="00567687"/>
    <w:rsid w:val="005808C6"/>
    <w:rsid w:val="005B2A6C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43653"/>
    <w:rsid w:val="006553F0"/>
    <w:rsid w:val="00670FFE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4067C"/>
    <w:rsid w:val="00740C9C"/>
    <w:rsid w:val="007512CE"/>
    <w:rsid w:val="007533AE"/>
    <w:rsid w:val="0075358C"/>
    <w:rsid w:val="00753EE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74DF4"/>
    <w:rsid w:val="008A4A63"/>
    <w:rsid w:val="008A7863"/>
    <w:rsid w:val="008B5293"/>
    <w:rsid w:val="008D71A2"/>
    <w:rsid w:val="00912ED4"/>
    <w:rsid w:val="009318AC"/>
    <w:rsid w:val="00934F73"/>
    <w:rsid w:val="00950AD7"/>
    <w:rsid w:val="00961810"/>
    <w:rsid w:val="009663A0"/>
    <w:rsid w:val="00967A0B"/>
    <w:rsid w:val="009710C7"/>
    <w:rsid w:val="009C7228"/>
    <w:rsid w:val="009E079A"/>
    <w:rsid w:val="009E4C14"/>
    <w:rsid w:val="009E6933"/>
    <w:rsid w:val="00A121AE"/>
    <w:rsid w:val="00A2466F"/>
    <w:rsid w:val="00A35217"/>
    <w:rsid w:val="00A40087"/>
    <w:rsid w:val="00A41638"/>
    <w:rsid w:val="00A50D74"/>
    <w:rsid w:val="00A51BCF"/>
    <w:rsid w:val="00A67F65"/>
    <w:rsid w:val="00A800BE"/>
    <w:rsid w:val="00A877ED"/>
    <w:rsid w:val="00AA187F"/>
    <w:rsid w:val="00AA3969"/>
    <w:rsid w:val="00AA460C"/>
    <w:rsid w:val="00AB5259"/>
    <w:rsid w:val="00AE7BD7"/>
    <w:rsid w:val="00AF3711"/>
    <w:rsid w:val="00B35D35"/>
    <w:rsid w:val="00B42F07"/>
    <w:rsid w:val="00B50354"/>
    <w:rsid w:val="00B5549F"/>
    <w:rsid w:val="00B55979"/>
    <w:rsid w:val="00B71F22"/>
    <w:rsid w:val="00BE71AF"/>
    <w:rsid w:val="00C17193"/>
    <w:rsid w:val="00C26B9A"/>
    <w:rsid w:val="00C764D0"/>
    <w:rsid w:val="00C94583"/>
    <w:rsid w:val="00C96525"/>
    <w:rsid w:val="00CC3C37"/>
    <w:rsid w:val="00CD02AE"/>
    <w:rsid w:val="00CE13D6"/>
    <w:rsid w:val="00CE687F"/>
    <w:rsid w:val="00CE7F17"/>
    <w:rsid w:val="00CF0A43"/>
    <w:rsid w:val="00D16129"/>
    <w:rsid w:val="00D4597D"/>
    <w:rsid w:val="00D51A42"/>
    <w:rsid w:val="00D5625C"/>
    <w:rsid w:val="00D63BF6"/>
    <w:rsid w:val="00D644CB"/>
    <w:rsid w:val="00D647A7"/>
    <w:rsid w:val="00D74D0B"/>
    <w:rsid w:val="00D75B1F"/>
    <w:rsid w:val="00D8447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E11BA4"/>
    <w:rsid w:val="00E23886"/>
    <w:rsid w:val="00E25FDC"/>
    <w:rsid w:val="00E43E81"/>
    <w:rsid w:val="00E46803"/>
    <w:rsid w:val="00E55CA7"/>
    <w:rsid w:val="00E6094F"/>
    <w:rsid w:val="00E706CF"/>
    <w:rsid w:val="00E864DD"/>
    <w:rsid w:val="00E93FE2"/>
    <w:rsid w:val="00E944E4"/>
    <w:rsid w:val="00EC694D"/>
    <w:rsid w:val="00ED738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A0C"/>
    <w:rsid w:val="00F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e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DefaultParagraphFont"/>
    <w:rsid w:val="00812A11"/>
  </w:style>
  <w:style w:type="character" w:customStyle="1" w:styleId="apple-converted-space">
    <w:name w:val="apple-converted-space"/>
    <w:basedOn w:val="DefaultParagraphFont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E9470-B2DC-4104-9421-3C0A65D2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1912</Words>
  <Characters>10518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 :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12406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: Proceso de Logística</dc:title>
  <dc:subject>Definición de Procesos</dc:subject>
  <dc:creator>Kaya Pamela Marina Cortegana</dc:creator>
  <cp:lastModifiedBy>cbriones</cp:lastModifiedBy>
  <cp:revision>15</cp:revision>
  <dcterms:created xsi:type="dcterms:W3CDTF">2011-05-12T23:32:00Z</dcterms:created>
  <dcterms:modified xsi:type="dcterms:W3CDTF">2011-05-19T02:13:00Z</dcterms:modified>
</cp:coreProperties>
</file>