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14F" w:rsidRDefault="0050714F">
      <w:r>
        <w:rPr>
          <w:noProof/>
          <w:lang w:val="es-PE" w:eastAsia="es-PE"/>
        </w:rPr>
        <w:pict>
          <v:group id="Group 27" o:spid="_x0000_s1031" style="position:absolute;margin-left:-54.6pt;margin-top:-51.7pt;width:580.3pt;height:751.4pt;z-index:251658240"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32"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33"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strokecolor="white" strokeweight="1pt">
                <v:fill r:id="rId7" o:title="" color2="#bfbfbf" type="pattern"/>
                <v:shadow color="#d8d8d8" offset="3pt,3pt"/>
              </v:rect>
              <v:rect id="Rectangle 5" o:spid="_x0000_s1034"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strokecolor="white" strokeweight="1pt">
                <v:fill opacity="52428f"/>
                <v:shadow color="#d8d8d8" offset="3pt,3pt"/>
                <v:textbox inset="18pt,108pt,36pt">
                  <w:txbxContent>
                    <w:p w:rsidR="0050714F" w:rsidRPr="000B53BB" w:rsidRDefault="0050714F">
                      <w:pPr>
                        <w:pStyle w:val="NoSpacing"/>
                        <w:rPr>
                          <w:color w:val="FFFFFF"/>
                          <w:sz w:val="40"/>
                          <w:szCs w:val="40"/>
                          <w:lang w:val="es-ES"/>
                        </w:rPr>
                      </w:pPr>
                      <w:r w:rsidRPr="000B53BB">
                        <w:rPr>
                          <w:color w:val="FFFFFF"/>
                          <w:sz w:val="40"/>
                          <w:szCs w:val="40"/>
                          <w:lang w:val="es-ES"/>
                        </w:rPr>
                        <w:t>Análisis y Diseño de la Arquitectura de Procesos para la Pequeña Minería:      Proceso de Logística</w:t>
                      </w:r>
                    </w:p>
                    <w:p w:rsidR="0050714F" w:rsidRPr="000B53BB" w:rsidRDefault="0050714F">
                      <w:pPr>
                        <w:pStyle w:val="NoSpacing"/>
                        <w:rPr>
                          <w:color w:val="FFFFFF"/>
                          <w:sz w:val="40"/>
                          <w:szCs w:val="40"/>
                          <w:lang w:val="es-ES"/>
                        </w:rPr>
                      </w:pPr>
                      <w:r w:rsidRPr="000B53BB">
                        <w:rPr>
                          <w:color w:val="FFFFFF"/>
                          <w:sz w:val="40"/>
                          <w:szCs w:val="40"/>
                          <w:lang w:val="es-ES"/>
                        </w:rPr>
                        <w:t>Definición de Procesos</w:t>
                      </w:r>
                    </w:p>
                    <w:p w:rsidR="0050714F" w:rsidRPr="000B53BB" w:rsidRDefault="0050714F">
                      <w:pPr>
                        <w:pStyle w:val="NoSpacing"/>
                        <w:rPr>
                          <w:color w:val="FFFFFF"/>
                          <w:sz w:val="40"/>
                          <w:szCs w:val="40"/>
                          <w:lang w:val="es-ES"/>
                        </w:rPr>
                      </w:pPr>
                      <w:bookmarkStart w:id="0" w:name="_GoBack"/>
                      <w:bookmarkEnd w:id="0"/>
                    </w:p>
                    <w:p w:rsidR="0050714F" w:rsidRPr="000B53BB" w:rsidRDefault="0050714F">
                      <w:pPr>
                        <w:pStyle w:val="NoSpacing"/>
                        <w:rPr>
                          <w:color w:val="FFFFFF"/>
                          <w:sz w:val="40"/>
                          <w:szCs w:val="40"/>
                          <w:lang w:val="es-ES"/>
                        </w:rPr>
                      </w:pPr>
                      <w:r w:rsidRPr="000B53BB">
                        <w:rPr>
                          <w:color w:val="FFFFFF"/>
                          <w:sz w:val="40"/>
                          <w:szCs w:val="40"/>
                          <w:lang w:val="es-ES"/>
                        </w:rPr>
                        <w:t>Versión 1.2</w:t>
                      </w:r>
                    </w:p>
                  </w:txbxContent>
                </v:textbox>
              </v:rect>
              <v:group id="Group 6" o:spid="_x0000_s1035"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strokecolor="white" strokeweight="1pt">
                  <v:fill opacity="52428f"/>
                  <v:shadow color="#d8d8d8" offset="3pt,3pt"/>
                </v:rect>
                <v:rect id="Rectangle 8" o:spid="_x0000_s103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strokecolor="white" strokeweight="1pt">
                  <v:fill opacity="32896f"/>
                  <v:shadow color="#d8d8d8" offset="3pt,3pt"/>
                </v:rect>
                <v:rect id="Rectangle 9" o:spid="_x0000_s103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strokecolor="white" strokeweight="1pt">
                  <v:fill opacity="52428f"/>
                  <v:shadow color="#d8d8d8" offset="3pt,3pt"/>
                </v:rect>
                <v:rect id="Rectangle 10" o:spid="_x0000_s103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strokecolor="white" strokeweight="1pt">
                  <v:fill opacity="32896f"/>
                  <v:shadow color="#d8d8d8" offset="3pt,3pt"/>
                </v:rect>
                <v:rect id="Rectangle 11" o:spid="_x0000_s104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strokecolor="white" strokeweight="1pt">
                  <v:fill opacity="32896f"/>
                  <v:shadow color="#d8d8d8" offset="3pt,3pt"/>
                </v:rect>
                <v:rect id="Rectangle 12" o:spid="_x0000_s104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strokecolor="white" strokeweight="1pt">
                  <v:fill opacity="32896f"/>
                  <v:shadow color="#d8d8d8" offset="3pt,3pt"/>
                </v:rect>
              </v:group>
              <v:rect id="Rectangle 13" o:spid="_x0000_s1042"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strokecolor="white" strokeweight="1pt">
                <v:shadow color="#d8d8d8" offset="3pt,3pt"/>
                <v:textbox>
                  <w:txbxContent>
                    <w:p w:rsidR="0050714F" w:rsidRPr="000B53BB" w:rsidRDefault="0050714F">
                      <w:pPr>
                        <w:jc w:val="center"/>
                        <w:rPr>
                          <w:color w:val="FFFFFF"/>
                          <w:sz w:val="48"/>
                          <w:szCs w:val="52"/>
                        </w:rPr>
                      </w:pPr>
                      <w:r w:rsidRPr="000B53BB">
                        <w:rPr>
                          <w:color w:val="FFFFFF"/>
                          <w:sz w:val="52"/>
                          <w:szCs w:val="52"/>
                        </w:rPr>
                        <w:t>2011</w:t>
                      </w:r>
                    </w:p>
                  </w:txbxContent>
                </v:textbox>
              </v:rect>
            </v:group>
            <v:group id="Group 25" o:spid="_x0000_s1043"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44"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stroked="f" strokecolor="white" strokeweight="1pt">
                <v:fill opacity="52428f"/>
                <v:textbox inset=",0,,0">
                  <w:txbxContent>
                    <w:p w:rsidR="0050714F" w:rsidRPr="000B53BB" w:rsidRDefault="0050714F" w:rsidP="000B4A09">
                      <w:pPr>
                        <w:pStyle w:val="NoSpacing"/>
                        <w:ind w:left="3600"/>
                        <w:jc w:val="right"/>
                        <w:rPr>
                          <w:color w:val="FFFFFF"/>
                        </w:rPr>
                      </w:pPr>
                      <w:r w:rsidRPr="000B53BB">
                        <w:rPr>
                          <w:color w:val="FFFFFF"/>
                        </w:rPr>
                        <w:t xml:space="preserve">       </w:t>
                      </w:r>
                      <w:r w:rsidRPr="000B53BB">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8" type="#_x0000_t75" alt="Logo BankMin.jpg" style="width:117pt;height:32.25pt;visibility:visible">
                            <v:imagedata r:id="rId8" o:title="" chromakey="white" gain="1.25" blacklevel="-3277f"/>
                          </v:shape>
                        </w:pict>
                      </w:r>
                    </w:p>
                  </w:txbxContent>
                </v:textbox>
              </v:rect>
              <v:group id="Group 24" o:spid="_x0000_s1045"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6"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strokecolor="white" strokeweight="1pt">
                  <v:fill opacity="32896f"/>
                  <v:shadow color="#d8d8d8" offset="3pt,3pt"/>
                </v:rect>
                <v:rect id="Rectangle 17" o:spid="_x0000_s1047"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strokecolor="white" strokeweight="1pt">
                  <v:shadow color="#d8d8d8" offset="3pt,3pt"/>
                </v:rect>
                <v:rect id="Rectangle 18" o:spid="_x0000_s1048"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strokecolor="white" strokeweight="1pt">
                  <v:fill opacity="32896f"/>
                  <v:shadow color="#d8d8d8" offset="3pt,3pt"/>
                </v:rect>
              </v:group>
            </v:group>
          </v:group>
        </w:pict>
      </w:r>
    </w:p>
    <w:p w:rsidR="0050714F" w:rsidRDefault="0050714F"/>
    <w:p w:rsidR="0050714F" w:rsidRDefault="0050714F" w:rsidP="00D5625C">
      <w:r>
        <w:br w:type="page"/>
      </w:r>
    </w:p>
    <w:p w:rsidR="0050714F" w:rsidRDefault="0050714F" w:rsidP="006F0EAF">
      <w:pPr>
        <w:pStyle w:val="TOCHeading"/>
      </w:pPr>
    </w:p>
    <w:p w:rsidR="0050714F" w:rsidRPr="003B0F18" w:rsidRDefault="0050714F">
      <w:pPr>
        <w:rPr>
          <w:rFonts w:cs="Calibri"/>
          <w:b/>
          <w:bCs/>
          <w:color w:val="002060"/>
          <w:sz w:val="28"/>
          <w:szCs w:val="28"/>
          <w:lang w:val="es-PE"/>
        </w:rPr>
      </w:pPr>
      <w:r w:rsidRPr="003B0F18">
        <w:rPr>
          <w:rFonts w:cs="Calibri"/>
          <w:b/>
          <w:bCs/>
          <w:color w:val="002060"/>
          <w:sz w:val="28"/>
          <w:szCs w:val="28"/>
          <w:lang w:val="es-PE"/>
        </w:rPr>
        <w:t>Índice</w:t>
      </w:r>
    </w:p>
    <w:p w:rsidR="0050714F" w:rsidRDefault="0050714F">
      <w:pPr>
        <w:pStyle w:val="TOC1"/>
        <w:tabs>
          <w:tab w:val="left" w:pos="1320"/>
          <w:tab w:val="right" w:leader="dot" w:pos="10160"/>
        </w:tabs>
        <w:rPr>
          <w:noProof/>
        </w:rPr>
      </w:pPr>
      <w:r w:rsidRPr="006F0EAF">
        <w:rPr>
          <w:lang w:val="es-ES"/>
        </w:rPr>
        <w:fldChar w:fldCharType="begin"/>
      </w:r>
      <w:r w:rsidRPr="006F0EAF">
        <w:rPr>
          <w:lang w:val="es-ES"/>
        </w:rPr>
        <w:instrText xml:space="preserve"> TOC \o "1-3" \h \z \u </w:instrText>
      </w:r>
      <w:r w:rsidRPr="006F0EAF">
        <w:rPr>
          <w:lang w:val="es-ES"/>
        </w:rPr>
        <w:fldChar w:fldCharType="separate"/>
      </w:r>
      <w:hyperlink w:anchor="_Toc292018113" w:history="1">
        <w:r w:rsidRPr="00EC74B6">
          <w:rPr>
            <w:rStyle w:val="Hyperlink"/>
            <w:rFonts w:cs="Calibri"/>
            <w:noProof/>
            <w:lang w:val="es-ES"/>
          </w:rPr>
          <w:t>Sección 1.</w:t>
        </w:r>
        <w:r>
          <w:rPr>
            <w:noProof/>
          </w:rPr>
          <w:tab/>
        </w:r>
        <w:r w:rsidRPr="00EC74B6">
          <w:rPr>
            <w:rStyle w:val="Hyperlink"/>
            <w:rFonts w:cs="Calibri"/>
            <w:noProof/>
            <w:lang w:val="es-PE"/>
          </w:rPr>
          <w:t>Definición de Procesos</w:t>
        </w:r>
        <w:r>
          <w:rPr>
            <w:noProof/>
            <w:webHidden/>
          </w:rPr>
          <w:tab/>
        </w:r>
        <w:r>
          <w:rPr>
            <w:noProof/>
            <w:webHidden/>
          </w:rPr>
          <w:fldChar w:fldCharType="begin"/>
        </w:r>
        <w:r>
          <w:rPr>
            <w:noProof/>
            <w:webHidden/>
          </w:rPr>
          <w:instrText xml:space="preserve"> PAGEREF _Toc292018113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4" w:history="1">
        <w:r w:rsidRPr="00EC74B6">
          <w:rPr>
            <w:rStyle w:val="Hyperlink"/>
            <w:rFonts w:cs="Calibri"/>
            <w:noProof/>
            <w:lang w:val="es-PE"/>
          </w:rPr>
          <w:t>1.1</w:t>
        </w:r>
        <w:r>
          <w:rPr>
            <w:noProof/>
          </w:rPr>
          <w:tab/>
        </w:r>
        <w:r w:rsidRPr="00EC74B6">
          <w:rPr>
            <w:rStyle w:val="Hyperlink"/>
            <w:rFonts w:cs="Calibri"/>
            <w:noProof/>
            <w:lang w:val="es-PE"/>
          </w:rPr>
          <w:t>Propósito del Proceso</w:t>
        </w:r>
        <w:r>
          <w:rPr>
            <w:noProof/>
            <w:webHidden/>
          </w:rPr>
          <w:tab/>
        </w:r>
        <w:r>
          <w:rPr>
            <w:noProof/>
            <w:webHidden/>
          </w:rPr>
          <w:fldChar w:fldCharType="begin"/>
        </w:r>
        <w:r>
          <w:rPr>
            <w:noProof/>
            <w:webHidden/>
          </w:rPr>
          <w:instrText xml:space="preserve"> PAGEREF _Toc292018114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5" w:history="1">
        <w:r w:rsidRPr="00EC74B6">
          <w:rPr>
            <w:rStyle w:val="Hyperlink"/>
            <w:rFonts w:cs="Calibri"/>
            <w:noProof/>
            <w:lang w:val="es-PE"/>
          </w:rPr>
          <w:t>1.2</w:t>
        </w:r>
        <w:r>
          <w:rPr>
            <w:noProof/>
          </w:rPr>
          <w:tab/>
        </w:r>
        <w:r w:rsidRPr="00EC74B6">
          <w:rPr>
            <w:rStyle w:val="Hyperlink"/>
            <w:rFonts w:cs="Calibri"/>
            <w:noProof/>
            <w:lang w:val="es-PE"/>
          </w:rPr>
          <w:t>Descripción</w:t>
        </w:r>
        <w:r>
          <w:rPr>
            <w:noProof/>
            <w:webHidden/>
          </w:rPr>
          <w:tab/>
        </w:r>
        <w:r>
          <w:rPr>
            <w:noProof/>
            <w:webHidden/>
          </w:rPr>
          <w:fldChar w:fldCharType="begin"/>
        </w:r>
        <w:r>
          <w:rPr>
            <w:noProof/>
            <w:webHidden/>
          </w:rPr>
          <w:instrText xml:space="preserve"> PAGEREF _Toc292018115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6" w:history="1">
        <w:r w:rsidRPr="00EC74B6">
          <w:rPr>
            <w:rStyle w:val="Hyperlink"/>
            <w:rFonts w:cs="Calibri"/>
            <w:noProof/>
            <w:lang w:val="es-PE"/>
          </w:rPr>
          <w:t>1.3</w:t>
        </w:r>
        <w:r>
          <w:rPr>
            <w:noProof/>
          </w:rPr>
          <w:tab/>
        </w:r>
        <w:r w:rsidRPr="00EC74B6">
          <w:rPr>
            <w:rStyle w:val="Hyperlink"/>
            <w:rFonts w:cs="Calibri"/>
            <w:noProof/>
            <w:lang w:val="es-PE"/>
          </w:rPr>
          <w:t>Roles</w:t>
        </w:r>
        <w:r>
          <w:rPr>
            <w:noProof/>
            <w:webHidden/>
          </w:rPr>
          <w:tab/>
        </w:r>
        <w:r>
          <w:rPr>
            <w:noProof/>
            <w:webHidden/>
          </w:rPr>
          <w:fldChar w:fldCharType="begin"/>
        </w:r>
        <w:r>
          <w:rPr>
            <w:noProof/>
            <w:webHidden/>
          </w:rPr>
          <w:instrText xml:space="preserve"> PAGEREF _Toc292018116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7" w:history="1">
        <w:r w:rsidRPr="00EC74B6">
          <w:rPr>
            <w:rStyle w:val="Hyperlink"/>
            <w:rFonts w:cs="Calibri"/>
            <w:noProof/>
            <w:lang w:val="es-PE"/>
          </w:rPr>
          <w:t>1.4</w:t>
        </w:r>
        <w:r>
          <w:rPr>
            <w:noProof/>
          </w:rPr>
          <w:tab/>
        </w:r>
        <w:r w:rsidRPr="00EC74B6">
          <w:rPr>
            <w:rStyle w:val="Hyperlink"/>
            <w:rFonts w:cs="Calibri"/>
            <w:noProof/>
            <w:lang w:val="es-PE"/>
          </w:rPr>
          <w:t>Stakeholders</w:t>
        </w:r>
        <w:r>
          <w:rPr>
            <w:noProof/>
            <w:webHidden/>
          </w:rPr>
          <w:tab/>
        </w:r>
        <w:r>
          <w:rPr>
            <w:noProof/>
            <w:webHidden/>
          </w:rPr>
          <w:fldChar w:fldCharType="begin"/>
        </w:r>
        <w:r>
          <w:rPr>
            <w:noProof/>
            <w:webHidden/>
          </w:rPr>
          <w:instrText xml:space="preserve"> PAGEREF _Toc292018117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8" w:history="1">
        <w:r w:rsidRPr="00EC74B6">
          <w:rPr>
            <w:rStyle w:val="Hyperlink"/>
            <w:rFonts w:cs="Calibri"/>
            <w:noProof/>
            <w:lang w:val="es-PE"/>
          </w:rPr>
          <w:t>1.5</w:t>
        </w:r>
        <w:r>
          <w:rPr>
            <w:noProof/>
          </w:rPr>
          <w:tab/>
        </w:r>
        <w:r w:rsidRPr="00EC74B6">
          <w:rPr>
            <w:rStyle w:val="Hyperlink"/>
            <w:rFonts w:cs="Calibri"/>
            <w:noProof/>
            <w:lang w:val="es-PE"/>
          </w:rPr>
          <w:t>Entradas del Proceso</w:t>
        </w:r>
        <w:r>
          <w:rPr>
            <w:noProof/>
            <w:webHidden/>
          </w:rPr>
          <w:tab/>
        </w:r>
        <w:r>
          <w:rPr>
            <w:noProof/>
            <w:webHidden/>
          </w:rPr>
          <w:fldChar w:fldCharType="begin"/>
        </w:r>
        <w:r>
          <w:rPr>
            <w:noProof/>
            <w:webHidden/>
          </w:rPr>
          <w:instrText xml:space="preserve"> PAGEREF _Toc292018118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19" w:history="1">
        <w:r w:rsidRPr="00EC74B6">
          <w:rPr>
            <w:rStyle w:val="Hyperlink"/>
            <w:rFonts w:cs="Calibri"/>
            <w:noProof/>
            <w:lang w:val="es-PE"/>
          </w:rPr>
          <w:t>1.6</w:t>
        </w:r>
        <w:r>
          <w:rPr>
            <w:noProof/>
          </w:rPr>
          <w:tab/>
        </w:r>
        <w:r w:rsidRPr="00EC74B6">
          <w:rPr>
            <w:rStyle w:val="Hyperlink"/>
            <w:rFonts w:cs="Calibri"/>
            <w:noProof/>
            <w:lang w:val="es-PE"/>
          </w:rPr>
          <w:t>Salidas del Proceso</w:t>
        </w:r>
        <w:r>
          <w:rPr>
            <w:noProof/>
            <w:webHidden/>
          </w:rPr>
          <w:tab/>
        </w:r>
        <w:r>
          <w:rPr>
            <w:noProof/>
            <w:webHidden/>
          </w:rPr>
          <w:fldChar w:fldCharType="begin"/>
        </w:r>
        <w:r>
          <w:rPr>
            <w:noProof/>
            <w:webHidden/>
          </w:rPr>
          <w:instrText xml:space="preserve"> PAGEREF _Toc292018119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20" w:history="1">
        <w:r w:rsidRPr="00EC74B6">
          <w:rPr>
            <w:rStyle w:val="Hyperlink"/>
            <w:rFonts w:cs="Calibri"/>
            <w:noProof/>
            <w:lang w:val="es-PE"/>
          </w:rPr>
          <w:t>1.7</w:t>
        </w:r>
        <w:r>
          <w:rPr>
            <w:noProof/>
          </w:rPr>
          <w:tab/>
        </w:r>
        <w:r w:rsidRPr="00EC74B6">
          <w:rPr>
            <w:rStyle w:val="Hyperlink"/>
            <w:rFonts w:cs="Calibri"/>
            <w:noProof/>
            <w:lang w:val="es-PE"/>
          </w:rPr>
          <w:t>Caracterización</w:t>
        </w:r>
        <w:r>
          <w:rPr>
            <w:noProof/>
            <w:webHidden/>
          </w:rPr>
          <w:tab/>
        </w:r>
        <w:r>
          <w:rPr>
            <w:noProof/>
            <w:webHidden/>
          </w:rPr>
          <w:fldChar w:fldCharType="begin"/>
        </w:r>
        <w:r>
          <w:rPr>
            <w:noProof/>
            <w:webHidden/>
          </w:rPr>
          <w:instrText xml:space="preserve"> PAGEREF _Toc292018120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2"/>
        <w:tabs>
          <w:tab w:val="left" w:pos="880"/>
          <w:tab w:val="right" w:leader="dot" w:pos="10160"/>
        </w:tabs>
        <w:rPr>
          <w:noProof/>
        </w:rPr>
      </w:pPr>
      <w:hyperlink w:anchor="_Toc292018121" w:history="1">
        <w:r w:rsidRPr="00EC74B6">
          <w:rPr>
            <w:rStyle w:val="Hyperlink"/>
            <w:rFonts w:cs="Calibri"/>
            <w:noProof/>
            <w:lang w:val="es-PE"/>
          </w:rPr>
          <w:t>1.8</w:t>
        </w:r>
        <w:r>
          <w:rPr>
            <w:noProof/>
          </w:rPr>
          <w:tab/>
        </w:r>
        <w:r w:rsidRPr="00EC74B6">
          <w:rPr>
            <w:rStyle w:val="Hyperlink"/>
            <w:rFonts w:cs="Calibri"/>
            <w:noProof/>
            <w:lang w:val="es-PE"/>
          </w:rPr>
          <w:t>Diagrama del Proceso</w:t>
        </w:r>
        <w:r>
          <w:rPr>
            <w:noProof/>
            <w:webHidden/>
          </w:rPr>
          <w:tab/>
        </w:r>
        <w:r>
          <w:rPr>
            <w:noProof/>
            <w:webHidden/>
          </w:rPr>
          <w:fldChar w:fldCharType="begin"/>
        </w:r>
        <w:r>
          <w:rPr>
            <w:noProof/>
            <w:webHidden/>
          </w:rPr>
          <w:instrText xml:space="preserve"> PAGEREF _Toc292018121 \h </w:instrText>
        </w:r>
        <w:r>
          <w:rPr>
            <w:noProof/>
          </w:rPr>
        </w:r>
        <w:r>
          <w:rPr>
            <w:noProof/>
            <w:webHidden/>
          </w:rPr>
          <w:fldChar w:fldCharType="separate"/>
        </w:r>
        <w:r>
          <w:rPr>
            <w:noProof/>
            <w:webHidden/>
          </w:rPr>
          <w:t>3</w:t>
        </w:r>
        <w:r>
          <w:rPr>
            <w:noProof/>
            <w:webHidden/>
          </w:rPr>
          <w:fldChar w:fldCharType="end"/>
        </w:r>
      </w:hyperlink>
    </w:p>
    <w:p w:rsidR="0050714F" w:rsidRDefault="0050714F">
      <w:pPr>
        <w:pStyle w:val="TOC1"/>
        <w:tabs>
          <w:tab w:val="left" w:pos="1320"/>
          <w:tab w:val="right" w:leader="dot" w:pos="10160"/>
        </w:tabs>
        <w:rPr>
          <w:noProof/>
        </w:rPr>
      </w:pPr>
      <w:hyperlink w:anchor="_Toc292018125" w:history="1">
        <w:r w:rsidRPr="00EC74B6">
          <w:rPr>
            <w:rStyle w:val="Hyperlink"/>
            <w:rFonts w:cs="Calibri"/>
            <w:noProof/>
          </w:rPr>
          <w:t xml:space="preserve">Sección 2. </w:t>
        </w:r>
        <w:r>
          <w:rPr>
            <w:noProof/>
          </w:rPr>
          <w:tab/>
        </w:r>
        <w:r w:rsidRPr="00EC74B6">
          <w:rPr>
            <w:rStyle w:val="Hyperlink"/>
            <w:rFonts w:cs="Calibri"/>
            <w:noProof/>
          </w:rPr>
          <w:t>Historial de Revisión</w:t>
        </w:r>
        <w:r>
          <w:rPr>
            <w:noProof/>
            <w:webHidden/>
          </w:rPr>
          <w:tab/>
        </w:r>
        <w:r>
          <w:rPr>
            <w:noProof/>
            <w:webHidden/>
          </w:rPr>
          <w:fldChar w:fldCharType="begin"/>
        </w:r>
        <w:r>
          <w:rPr>
            <w:noProof/>
            <w:webHidden/>
          </w:rPr>
          <w:instrText xml:space="preserve"> PAGEREF _Toc292018125 \h </w:instrText>
        </w:r>
        <w:r>
          <w:rPr>
            <w:noProof/>
          </w:rPr>
        </w:r>
        <w:r>
          <w:rPr>
            <w:noProof/>
            <w:webHidden/>
          </w:rPr>
          <w:fldChar w:fldCharType="separate"/>
        </w:r>
        <w:r>
          <w:rPr>
            <w:noProof/>
            <w:webHidden/>
          </w:rPr>
          <w:t>3</w:t>
        </w:r>
        <w:r>
          <w:rPr>
            <w:noProof/>
            <w:webHidden/>
          </w:rPr>
          <w:fldChar w:fldCharType="end"/>
        </w:r>
      </w:hyperlink>
    </w:p>
    <w:p w:rsidR="0050714F" w:rsidRDefault="0050714F" w:rsidP="00D5625C">
      <w:r w:rsidRPr="006F0EAF">
        <w:rPr>
          <w:lang w:val="es-ES"/>
        </w:rPr>
        <w:fldChar w:fldCharType="end"/>
      </w:r>
    </w:p>
    <w:p w:rsidR="0050714F" w:rsidRDefault="0050714F">
      <w:r>
        <w:br w:type="page"/>
      </w:r>
    </w:p>
    <w:p w:rsidR="0050714F" w:rsidRPr="003B0F18" w:rsidRDefault="0050714F" w:rsidP="006F0EAF">
      <w:pPr>
        <w:pStyle w:val="Heading1"/>
        <w:rPr>
          <w:rFonts w:ascii="Calibri" w:hAnsi="Calibri" w:cs="Calibri"/>
          <w:color w:val="002060"/>
          <w:lang w:val="es-PE"/>
        </w:rPr>
      </w:pPr>
      <w:bookmarkStart w:id="1" w:name="_Toc288655384"/>
      <w:bookmarkStart w:id="2" w:name="_Toc292018113"/>
      <w:r w:rsidRPr="003B0F18">
        <w:rPr>
          <w:rFonts w:ascii="Calibri" w:hAnsi="Calibri" w:cs="Calibri"/>
          <w:bCs w:val="0"/>
          <w:color w:val="002060"/>
          <w:lang w:val="es-ES"/>
        </w:rPr>
        <w:t>Sección</w:t>
      </w:r>
      <w:r w:rsidRPr="003B0F18">
        <w:rPr>
          <w:rFonts w:ascii="Calibri" w:hAnsi="Calibri" w:cs="Calibri"/>
          <w:color w:val="002060"/>
          <w:lang w:val="es-ES"/>
        </w:rPr>
        <w:t xml:space="preserve"> 1.</w:t>
      </w:r>
      <w:r w:rsidRPr="003B0F18">
        <w:rPr>
          <w:rFonts w:ascii="Calibri" w:hAnsi="Calibri" w:cs="Calibri"/>
          <w:color w:val="002060"/>
          <w:lang w:val="es-ES"/>
        </w:rPr>
        <w:tab/>
      </w:r>
      <w:bookmarkEnd w:id="1"/>
      <w:r>
        <w:rPr>
          <w:rFonts w:ascii="Calibri" w:hAnsi="Calibri" w:cs="Calibri"/>
          <w:color w:val="002060"/>
          <w:lang w:val="es-PE"/>
        </w:rPr>
        <w:t>Definición de Procesos</w:t>
      </w:r>
      <w:bookmarkEnd w:id="2"/>
    </w:p>
    <w:p w:rsidR="0050714F" w:rsidRPr="00FD0DF7" w:rsidRDefault="0050714F" w:rsidP="005B2A6C">
      <w:pPr>
        <w:pStyle w:val="Heading2"/>
        <w:spacing w:line="360" w:lineRule="auto"/>
        <w:rPr>
          <w:rFonts w:ascii="Calibri" w:hAnsi="Calibri" w:cs="Calibri"/>
          <w:lang w:val="es-PE"/>
        </w:rPr>
      </w:pPr>
      <w:bookmarkStart w:id="3" w:name="_Toc292018114"/>
      <w:bookmarkStart w:id="4" w:name="_Toc95537992"/>
      <w:bookmarkStart w:id="5" w:name="_Toc87680546"/>
      <w:r w:rsidRPr="00FD0DF7">
        <w:rPr>
          <w:rFonts w:ascii="Calibri" w:hAnsi="Calibri" w:cs="Calibri"/>
          <w:lang w:val="es-PE"/>
        </w:rPr>
        <w:t>1.</w:t>
      </w:r>
      <w:r>
        <w:rPr>
          <w:rFonts w:ascii="Calibri" w:hAnsi="Calibri" w:cs="Calibri"/>
          <w:lang w:val="es-PE"/>
        </w:rPr>
        <w:t>1</w:t>
      </w:r>
      <w:r w:rsidRPr="00FD0DF7">
        <w:rPr>
          <w:rFonts w:ascii="Calibri" w:hAnsi="Calibri" w:cs="Calibri"/>
          <w:lang w:val="es-PE"/>
        </w:rPr>
        <w:tab/>
      </w:r>
      <w:r>
        <w:rPr>
          <w:rFonts w:ascii="Calibri" w:hAnsi="Calibri" w:cs="Calibri"/>
          <w:lang w:val="es-PE"/>
        </w:rPr>
        <w:t>Propósito del Proceso</w:t>
      </w:r>
      <w:bookmarkEnd w:id="3"/>
    </w:p>
    <w:p w:rsidR="0050714F" w:rsidRDefault="0050714F" w:rsidP="000E4366">
      <w:pPr>
        <w:ind w:left="720"/>
        <w:jc w:val="both"/>
        <w:rPr>
          <w:rFonts w:cs="Calibri"/>
          <w:lang w:val="es-ES"/>
        </w:rPr>
      </w:pPr>
      <w:r w:rsidRPr="00FD0DF7">
        <w:rPr>
          <w:rFonts w:cs="Calibri"/>
        </w:rPr>
        <w:sym w:font="Symbol" w:char="F0DE"/>
      </w:r>
      <w:r w:rsidRPr="007533AE">
        <w:rPr>
          <w:rFonts w:cs="Calibri"/>
          <w:lang w:val="es-ES"/>
        </w:rPr>
        <w:t xml:space="preserve"> </w:t>
      </w:r>
      <w:r>
        <w:rPr>
          <w:rFonts w:cs="Calibri"/>
          <w:lang w:val="es-ES"/>
        </w:rPr>
        <w:t>El propósito del macro</w:t>
      </w:r>
      <w:r w:rsidRPr="007533AE">
        <w:rPr>
          <w:rFonts w:cs="Calibri"/>
          <w:lang w:val="es-ES"/>
        </w:rPr>
        <w:t xml:space="preserve"> proceso</w:t>
      </w:r>
      <w:r>
        <w:rPr>
          <w:rFonts w:cs="Calibri"/>
          <w:lang w:val="es-ES"/>
        </w:rPr>
        <w:t xml:space="preserve"> </w:t>
      </w:r>
      <w:r w:rsidRPr="007533AE">
        <w:rPr>
          <w:rFonts w:cs="Calibri"/>
          <w:lang w:val="es-ES"/>
        </w:rPr>
        <w:t xml:space="preserve">de </w:t>
      </w:r>
      <w:r>
        <w:rPr>
          <w:rFonts w:cs="Calibri"/>
          <w:lang w:val="es-ES"/>
        </w:rPr>
        <w:t>Logística es que la pequeña minería defina de manera concreta  cada uno de los subprocesos y actividades desarrolladas durante el proceso de logística orientada al rubro de negocio. De esta forma, se evalúan las actividades críticas dentro del mismo macro proceso, que permitan llevar a cabo una adecuada automatización. Además, este macro proceso tiene el objetivo de describir las actividades y procesos asociados a la compra, abastecimiento y control de entradas y salidas de productos internos y productos finales producidos por la empresa.</w:t>
      </w:r>
    </w:p>
    <w:p w:rsidR="0050714F" w:rsidRPr="007533AE" w:rsidRDefault="0050714F" w:rsidP="00707C54">
      <w:pPr>
        <w:ind w:left="720"/>
        <w:jc w:val="both"/>
        <w:rPr>
          <w:rFonts w:cs="Calibri"/>
          <w:lang w:val="es-ES"/>
        </w:rPr>
      </w:pPr>
    </w:p>
    <w:p w:rsidR="0050714F" w:rsidRPr="00FD0DF7" w:rsidRDefault="0050714F" w:rsidP="005B2A6C">
      <w:pPr>
        <w:pStyle w:val="Heading2"/>
        <w:spacing w:line="360" w:lineRule="auto"/>
        <w:rPr>
          <w:rFonts w:ascii="Calibri" w:hAnsi="Calibri" w:cs="Calibri"/>
          <w:lang w:val="es-PE"/>
        </w:rPr>
      </w:pPr>
      <w:bookmarkStart w:id="6" w:name="_Toc292018115"/>
      <w:r w:rsidRPr="00FD0DF7">
        <w:rPr>
          <w:rFonts w:ascii="Calibri" w:hAnsi="Calibri" w:cs="Calibri"/>
          <w:lang w:val="es-PE"/>
        </w:rPr>
        <w:t>1.</w:t>
      </w:r>
      <w:r>
        <w:rPr>
          <w:rFonts w:ascii="Calibri" w:hAnsi="Calibri" w:cs="Calibri"/>
          <w:lang w:val="es-PE"/>
        </w:rPr>
        <w:t>2</w:t>
      </w:r>
      <w:r w:rsidRPr="00FD0DF7">
        <w:rPr>
          <w:rFonts w:ascii="Calibri" w:hAnsi="Calibri" w:cs="Calibri"/>
          <w:lang w:val="es-PE"/>
        </w:rPr>
        <w:tab/>
      </w:r>
      <w:r>
        <w:rPr>
          <w:rFonts w:ascii="Calibri" w:hAnsi="Calibri" w:cs="Calibri"/>
          <w:lang w:val="es-PE"/>
        </w:rPr>
        <w:t>Descripción</w:t>
      </w:r>
      <w:bookmarkEnd w:id="6"/>
    </w:p>
    <w:p w:rsidR="0050714F" w:rsidRPr="00707C54" w:rsidRDefault="0050714F" w:rsidP="007533AE">
      <w:pPr>
        <w:spacing w:line="360" w:lineRule="auto"/>
        <w:ind w:left="720"/>
        <w:jc w:val="both"/>
        <w:rPr>
          <w:rFonts w:cs="Calibri"/>
          <w:lang w:val="es-ES"/>
        </w:rPr>
      </w:pPr>
      <w:r w:rsidRPr="003F7BDA">
        <w:rPr>
          <w:rFonts w:cs="Calibri"/>
          <w:lang w:val="es-ES"/>
        </w:rPr>
        <w:sym w:font="Symbol" w:char="F0DE"/>
      </w:r>
      <w:r w:rsidRPr="007533AE">
        <w:rPr>
          <w:rFonts w:cs="Calibri"/>
          <w:lang w:val="es-ES"/>
        </w:rPr>
        <w:t xml:space="preserve"> </w:t>
      </w:r>
      <w:r>
        <w:rPr>
          <w:rFonts w:cs="Calibri"/>
          <w:lang w:val="es-ES"/>
        </w:rPr>
        <w:t>El macro proceso de Logística s</w:t>
      </w:r>
      <w:r w:rsidRPr="00CE7F17">
        <w:rPr>
          <w:rFonts w:cs="Calibri"/>
          <w:lang w:val="es-ES"/>
        </w:rPr>
        <w:t>e inicia con la recepción de los requerimientos de materiales</w:t>
      </w:r>
      <w:r>
        <w:rPr>
          <w:rFonts w:cs="Calibri"/>
          <w:lang w:val="es-ES"/>
        </w:rPr>
        <w:t xml:space="preserve"> o bienes por parte del responsa</w:t>
      </w:r>
      <w:r w:rsidRPr="00CE7F17">
        <w:rPr>
          <w:rFonts w:cs="Calibri"/>
          <w:lang w:val="es-ES"/>
        </w:rPr>
        <w:t xml:space="preserve">ble de cada área usuaria a través de una </w:t>
      </w:r>
      <w:r>
        <w:rPr>
          <w:rFonts w:cs="Calibri"/>
          <w:lang w:val="es-ES"/>
        </w:rPr>
        <w:t>Solicitud de Pedido</w:t>
      </w:r>
      <w:r w:rsidRPr="00CE7F17">
        <w:rPr>
          <w:rFonts w:cs="Calibri"/>
          <w:lang w:val="es-ES"/>
        </w:rPr>
        <w:t>. Posteriormente, se realiza la elaboración de un plan de compras que permitirá mantener un presupuesto determinado para</w:t>
      </w:r>
      <w:r>
        <w:rPr>
          <w:rFonts w:cs="Calibri"/>
          <w:lang w:val="es-ES"/>
        </w:rPr>
        <w:t xml:space="preserve"> </w:t>
      </w:r>
      <w:r w:rsidRPr="00CE7F17">
        <w:rPr>
          <w:rFonts w:cs="Calibri"/>
          <w:lang w:val="es-ES"/>
        </w:rPr>
        <w:t>las compras</w:t>
      </w:r>
      <w:r>
        <w:rPr>
          <w:rFonts w:cs="Calibri"/>
          <w:lang w:val="es-ES"/>
        </w:rPr>
        <w:t xml:space="preserve"> según el tipo de productos por requerimiento</w:t>
      </w:r>
      <w:r w:rsidRPr="00CE7F17">
        <w:rPr>
          <w:rFonts w:cs="Calibri"/>
          <w:lang w:val="es-ES"/>
        </w:rPr>
        <w:t>. Por último, se realizará la recepción de pedidos</w:t>
      </w:r>
      <w:r>
        <w:rPr>
          <w:rFonts w:cs="Calibri"/>
          <w:lang w:val="es-ES"/>
        </w:rPr>
        <w:t xml:space="preserve"> y envió de productos finales con destino final al cliente, </w:t>
      </w:r>
      <w:r w:rsidRPr="00CE7F17">
        <w:rPr>
          <w:rFonts w:cs="Calibri"/>
          <w:lang w:val="es-ES"/>
        </w:rPr>
        <w:t xml:space="preserve"> se mantendrá el control de lo inventario,</w:t>
      </w:r>
      <w:r>
        <w:rPr>
          <w:rFonts w:cs="Calibri"/>
          <w:lang w:val="es-ES"/>
        </w:rPr>
        <w:t xml:space="preserve"> y así</w:t>
      </w:r>
      <w:r w:rsidRPr="00CE7F17">
        <w:rPr>
          <w:rFonts w:cs="Calibri"/>
          <w:lang w:val="es-ES"/>
        </w:rPr>
        <w:t xml:space="preserve"> de esta forma se permitirá manejar adecuadamente los productos adquiridos.</w:t>
      </w:r>
    </w:p>
    <w:p w:rsidR="0050714F" w:rsidRDefault="0050714F" w:rsidP="005B2A6C">
      <w:pPr>
        <w:pStyle w:val="Heading2"/>
        <w:spacing w:line="360" w:lineRule="auto"/>
        <w:rPr>
          <w:rFonts w:ascii="Calibri" w:hAnsi="Calibri" w:cs="Calibri"/>
          <w:lang w:val="es-PE"/>
        </w:rPr>
      </w:pPr>
      <w:bookmarkStart w:id="7" w:name="_Toc292018116"/>
      <w:r w:rsidRPr="00FD0DF7">
        <w:rPr>
          <w:rFonts w:ascii="Calibri" w:hAnsi="Calibri" w:cs="Calibri"/>
          <w:lang w:val="es-PE"/>
        </w:rPr>
        <w:t>1.</w:t>
      </w:r>
      <w:r>
        <w:rPr>
          <w:rFonts w:ascii="Calibri" w:hAnsi="Calibri" w:cs="Calibri"/>
          <w:lang w:val="es-PE"/>
        </w:rPr>
        <w:t>3</w:t>
      </w:r>
      <w:r w:rsidRPr="00FD0DF7">
        <w:rPr>
          <w:rFonts w:ascii="Calibri" w:hAnsi="Calibri" w:cs="Calibri"/>
          <w:lang w:val="es-PE"/>
        </w:rPr>
        <w:tab/>
      </w:r>
      <w:r>
        <w:rPr>
          <w:rFonts w:ascii="Calibri" w:hAnsi="Calibri" w:cs="Calibri"/>
          <w:lang w:val="es-PE"/>
        </w:rPr>
        <w:t>Roles</w:t>
      </w:r>
      <w:bookmarkEnd w:id="7"/>
    </w:p>
    <w:tbl>
      <w:tblPr>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69"/>
        <w:gridCol w:w="2770"/>
      </w:tblGrid>
      <w:tr w:rsidR="0050714F" w:rsidRPr="000B53BB" w:rsidTr="000B53BB">
        <w:trPr>
          <w:trHeight w:val="278"/>
          <w:jc w:val="center"/>
        </w:trPr>
        <w:tc>
          <w:tcPr>
            <w:tcW w:w="2769" w:type="dxa"/>
            <w:shd w:val="clear" w:color="auto" w:fill="002060"/>
          </w:tcPr>
          <w:p w:rsidR="0050714F" w:rsidRPr="000B53BB" w:rsidRDefault="0050714F" w:rsidP="000B53BB">
            <w:pPr>
              <w:pStyle w:val="ListParagraph"/>
              <w:ind w:left="0"/>
              <w:contextualSpacing/>
              <w:jc w:val="center"/>
              <w:rPr>
                <w:rFonts w:ascii="Calibri" w:hAnsi="Calibri" w:cs="Calibri"/>
                <w:b/>
                <w:bCs/>
                <w:color w:val="FFFFFF"/>
                <w:sz w:val="20"/>
                <w:szCs w:val="20"/>
              </w:rPr>
            </w:pPr>
            <w:bookmarkStart w:id="8" w:name="_Toc288655396"/>
            <w:bookmarkEnd w:id="4"/>
            <w:bookmarkEnd w:id="5"/>
            <w:r w:rsidRPr="000B53BB">
              <w:rPr>
                <w:rFonts w:ascii="Calibri" w:hAnsi="Calibri" w:cs="Calibri"/>
                <w:b/>
                <w:bCs/>
                <w:color w:val="FFFFFF"/>
                <w:sz w:val="20"/>
                <w:szCs w:val="20"/>
              </w:rPr>
              <w:t>Área Funcional</w:t>
            </w:r>
          </w:p>
        </w:tc>
        <w:tc>
          <w:tcPr>
            <w:tcW w:w="2770" w:type="dxa"/>
            <w:shd w:val="clear" w:color="auto" w:fill="002060"/>
          </w:tcPr>
          <w:p w:rsidR="0050714F" w:rsidRPr="000B53BB" w:rsidRDefault="0050714F" w:rsidP="000B53BB">
            <w:pPr>
              <w:pStyle w:val="ListParagraph"/>
              <w:ind w:left="0"/>
              <w:contextualSpacing/>
              <w:jc w:val="center"/>
              <w:rPr>
                <w:rFonts w:ascii="Calibri" w:hAnsi="Calibri" w:cs="Calibri"/>
                <w:b/>
                <w:bCs/>
                <w:color w:val="FFFFFF"/>
                <w:sz w:val="20"/>
                <w:szCs w:val="20"/>
              </w:rPr>
            </w:pPr>
            <w:r w:rsidRPr="000B53BB">
              <w:rPr>
                <w:rFonts w:ascii="Calibri" w:hAnsi="Calibri" w:cs="Calibri"/>
                <w:color w:val="FFFFFF"/>
                <w:sz w:val="20"/>
                <w:szCs w:val="20"/>
              </w:rPr>
              <w:t>Descripción</w:t>
            </w:r>
          </w:p>
        </w:tc>
      </w:tr>
      <w:tr w:rsidR="0050714F" w:rsidRPr="005344D9"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Comercialización y Ventas</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Se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50714F" w:rsidRPr="005344D9" w:rsidTr="000B53BB">
        <w:trPr>
          <w:trHeight w:val="518"/>
          <w:jc w:val="center"/>
        </w:trPr>
        <w:tc>
          <w:tcPr>
            <w:tcW w:w="2769" w:type="dxa"/>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Logística</w:t>
            </w:r>
          </w:p>
        </w:tc>
        <w:tc>
          <w:tcPr>
            <w:tcW w:w="2770" w:type="dxa"/>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Se encarga de la administración y planificación de las actividades asociadas a compras de productos de soporte, transporte y almacenaje; siendo un apoyo a los procesos del sector minero para la continuidad de sus operaciones.</w:t>
            </w:r>
          </w:p>
        </w:tc>
      </w:tr>
      <w:tr w:rsidR="0050714F" w:rsidRPr="005344D9"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Contabilidad</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Encargada del manejo de los procedimientos contables, estado de ganancias y pérdidas, entre otros temas. También se encarga de realizar las actividades de facturación y pago de facturas.</w:t>
            </w:r>
          </w:p>
        </w:tc>
      </w:tr>
      <w:tr w:rsidR="0050714F" w:rsidRPr="005344D9" w:rsidTr="000B53BB">
        <w:trPr>
          <w:trHeight w:val="518"/>
          <w:jc w:val="center"/>
        </w:trPr>
        <w:tc>
          <w:tcPr>
            <w:tcW w:w="2769" w:type="dxa"/>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Gestión Legal</w:t>
            </w:r>
          </w:p>
        </w:tc>
        <w:tc>
          <w:tcPr>
            <w:tcW w:w="2770" w:type="dxa"/>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Involucra los diversos aspectos legales a tomar en cuenta para que la empresa minera se desempeñe de acuerdo a los puntos establecidos por la ley.</w:t>
            </w:r>
          </w:p>
        </w:tc>
      </w:tr>
      <w:tr w:rsidR="0050714F" w:rsidRPr="005344D9"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Área Solicitante</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Encargada de mandar las solicitudes de pedido, representadas por el inicio de mensaje del macro proceso.</w:t>
            </w:r>
          </w:p>
        </w:tc>
      </w:tr>
      <w:tr w:rsidR="0050714F" w:rsidRPr="005344D9" w:rsidTr="000B53BB">
        <w:trPr>
          <w:trHeight w:val="518"/>
          <w:jc w:val="center"/>
        </w:trPr>
        <w:tc>
          <w:tcPr>
            <w:tcW w:w="2769" w:type="dxa"/>
          </w:tcPr>
          <w:p w:rsidR="0050714F" w:rsidRPr="000B53BB" w:rsidRDefault="0050714F" w:rsidP="000B53BB">
            <w:pPr>
              <w:pStyle w:val="ListParagraph"/>
              <w:ind w:left="0"/>
              <w:contextualSpacing/>
              <w:jc w:val="both"/>
              <w:rPr>
                <w:rFonts w:ascii="Calibri" w:hAnsi="Calibri" w:cs="Calibri"/>
                <w:b/>
                <w:bCs/>
                <w:sz w:val="20"/>
                <w:szCs w:val="20"/>
              </w:rPr>
            </w:pPr>
            <w:r w:rsidRPr="000B53BB">
              <w:rPr>
                <w:rFonts w:ascii="Calibri" w:hAnsi="Calibri" w:cs="Calibri"/>
                <w:b/>
                <w:bCs/>
                <w:sz w:val="20"/>
                <w:szCs w:val="20"/>
              </w:rPr>
              <w:t>Operaciones</w:t>
            </w:r>
          </w:p>
        </w:tc>
        <w:tc>
          <w:tcPr>
            <w:tcW w:w="2770" w:type="dxa"/>
          </w:tcPr>
          <w:p w:rsidR="0050714F" w:rsidRPr="000B53BB" w:rsidRDefault="0050714F" w:rsidP="000B53BB">
            <w:pPr>
              <w:pStyle w:val="ListParagraph"/>
              <w:ind w:left="0"/>
              <w:contextualSpacing/>
              <w:rPr>
                <w:rFonts w:ascii="Calibri" w:hAnsi="Calibri" w:cs="Calibri"/>
                <w:sz w:val="20"/>
                <w:szCs w:val="20"/>
              </w:rPr>
            </w:pPr>
            <w:r w:rsidRPr="000B53BB">
              <w:rPr>
                <w:rFonts w:ascii="Calibri" w:hAnsi="Calibri" w:cs="Calibri"/>
                <w:sz w:val="20"/>
                <w:szCs w:val="20"/>
              </w:rPr>
              <w:t>Se encarga de la exploración, explotación y producción de minerales a transformar a productos finales. Dichos productos finales serán transportados a los almacenes designados por Logística.</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Heading2"/>
        <w:spacing w:line="360" w:lineRule="auto"/>
        <w:rPr>
          <w:rFonts w:ascii="Calibri" w:hAnsi="Calibri" w:cs="Calibri"/>
          <w:lang w:val="es-PE"/>
        </w:rPr>
      </w:pPr>
      <w:bookmarkStart w:id="9" w:name="_Toc292018117"/>
      <w:r w:rsidRPr="00FD0DF7">
        <w:rPr>
          <w:rFonts w:ascii="Calibri" w:hAnsi="Calibri" w:cs="Calibri"/>
          <w:lang w:val="es-PE"/>
        </w:rPr>
        <w:t>1.</w:t>
      </w:r>
      <w:r>
        <w:rPr>
          <w:rFonts w:ascii="Calibri" w:hAnsi="Calibri" w:cs="Calibri"/>
          <w:lang w:val="es-PE"/>
        </w:rPr>
        <w:t>4</w:t>
      </w:r>
      <w:r w:rsidRPr="00FD0DF7">
        <w:rPr>
          <w:rFonts w:ascii="Calibri" w:hAnsi="Calibri" w:cs="Calibri"/>
          <w:lang w:val="es-PE"/>
        </w:rPr>
        <w:tab/>
      </w:r>
      <w:r>
        <w:rPr>
          <w:rFonts w:ascii="Calibri" w:hAnsi="Calibri" w:cs="Calibri"/>
          <w:lang w:val="es-PE"/>
        </w:rPr>
        <w:t>Stakeholders</w:t>
      </w:r>
      <w:bookmarkEnd w:id="9"/>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176"/>
        <w:gridCol w:w="4138"/>
      </w:tblGrid>
      <w:tr w:rsidR="0050714F" w:rsidRPr="000B53BB" w:rsidTr="000B53BB">
        <w:trPr>
          <w:trHeight w:val="299"/>
          <w:jc w:val="center"/>
        </w:trPr>
        <w:tc>
          <w:tcPr>
            <w:tcW w:w="4176" w:type="dxa"/>
            <w:shd w:val="clear" w:color="auto" w:fill="002060"/>
          </w:tcPr>
          <w:p w:rsidR="0050714F" w:rsidRPr="000B53BB" w:rsidRDefault="0050714F" w:rsidP="000B53BB">
            <w:pPr>
              <w:pStyle w:val="ListParagraph"/>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Stakeholders</w:t>
            </w:r>
          </w:p>
        </w:tc>
        <w:tc>
          <w:tcPr>
            <w:tcW w:w="4138" w:type="dxa"/>
            <w:shd w:val="clear" w:color="auto" w:fill="002060"/>
          </w:tcPr>
          <w:p w:rsidR="0050714F" w:rsidRPr="000B53BB" w:rsidRDefault="0050714F" w:rsidP="000B53BB">
            <w:pPr>
              <w:pStyle w:val="ListParagraph"/>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0714F" w:rsidRPr="005344D9" w:rsidTr="000B53BB">
        <w:trPr>
          <w:trHeight w:val="284"/>
          <w:jc w:val="center"/>
        </w:trPr>
        <w:tc>
          <w:tcPr>
            <w:tcW w:w="4176" w:type="dxa"/>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Proveedor</w:t>
            </w:r>
          </w:p>
        </w:tc>
        <w:tc>
          <w:tcPr>
            <w:tcW w:w="4138" w:type="dxa"/>
          </w:tcPr>
          <w:p w:rsidR="0050714F" w:rsidRPr="000B53BB" w:rsidRDefault="0050714F" w:rsidP="000B53BB">
            <w:pPr>
              <w:pStyle w:val="ListParagraph"/>
              <w:ind w:left="0"/>
              <w:rPr>
                <w:rFonts w:ascii="Calibri" w:hAnsi="Calibri" w:cs="Calibri"/>
                <w:b/>
                <w:sz w:val="20"/>
                <w:szCs w:val="20"/>
              </w:rPr>
            </w:pPr>
            <w:r w:rsidRPr="000B53BB">
              <w:rPr>
                <w:rFonts w:ascii="Calibri" w:hAnsi="Calibri" w:cs="Calibri"/>
                <w:sz w:val="20"/>
                <w:szCs w:val="20"/>
              </w:rPr>
              <w:t>Empresa o persona natural encarga de brindar servicios o productos.</w:t>
            </w:r>
          </w:p>
        </w:tc>
      </w:tr>
    </w:tbl>
    <w:p w:rsidR="0050714F" w:rsidRPr="006F14B0" w:rsidRDefault="0050714F" w:rsidP="002A48D4">
      <w:pPr>
        <w:spacing w:line="360" w:lineRule="auto"/>
        <w:ind w:left="720"/>
        <w:jc w:val="both"/>
        <w:outlineLvl w:val="0"/>
        <w:rPr>
          <w:rFonts w:ascii="Arial" w:hAnsi="Arial" w:cs="Arial"/>
          <w:b/>
          <w:lang w:val="es-PE"/>
        </w:rPr>
      </w:pPr>
    </w:p>
    <w:p w:rsidR="0050714F" w:rsidRDefault="0050714F" w:rsidP="005B2A6C">
      <w:pPr>
        <w:pStyle w:val="Heading2"/>
        <w:spacing w:line="360" w:lineRule="auto"/>
        <w:rPr>
          <w:rFonts w:ascii="Calibri" w:hAnsi="Calibri" w:cs="Calibri"/>
          <w:lang w:val="es-PE"/>
        </w:rPr>
      </w:pPr>
      <w:bookmarkStart w:id="10" w:name="_Toc292018118"/>
      <w:r w:rsidRPr="00FD0DF7">
        <w:rPr>
          <w:rFonts w:ascii="Calibri" w:hAnsi="Calibri" w:cs="Calibri"/>
          <w:lang w:val="es-PE"/>
        </w:rPr>
        <w:t>1.</w:t>
      </w:r>
      <w:r>
        <w:rPr>
          <w:rFonts w:ascii="Calibri" w:hAnsi="Calibri" w:cs="Calibri"/>
          <w:lang w:val="es-PE"/>
        </w:rPr>
        <w:t>5</w:t>
      </w:r>
      <w:r w:rsidRPr="00FD0DF7">
        <w:rPr>
          <w:rFonts w:ascii="Calibri" w:hAnsi="Calibri" w:cs="Calibri"/>
          <w:lang w:val="es-PE"/>
        </w:rPr>
        <w:tab/>
      </w:r>
      <w:r>
        <w:rPr>
          <w:rFonts w:ascii="Calibri" w:hAnsi="Calibri" w:cs="Calibri"/>
          <w:lang w:val="es-PE"/>
        </w:rPr>
        <w:t>Entradas del Proceso</w:t>
      </w:r>
      <w:bookmarkEnd w:id="10"/>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62"/>
        <w:gridCol w:w="3544"/>
        <w:gridCol w:w="2819"/>
      </w:tblGrid>
      <w:tr w:rsidR="0050714F" w:rsidRPr="000B53BB" w:rsidTr="000B53BB">
        <w:trPr>
          <w:trHeight w:val="302"/>
          <w:jc w:val="center"/>
        </w:trPr>
        <w:tc>
          <w:tcPr>
            <w:tcW w:w="1962" w:type="dxa"/>
            <w:shd w:val="clear" w:color="auto" w:fill="002060"/>
          </w:tcPr>
          <w:p w:rsidR="0050714F" w:rsidRPr="000B53BB" w:rsidRDefault="0050714F" w:rsidP="000B53BB">
            <w:pPr>
              <w:pStyle w:val="ListParagraph"/>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Entrada</w:t>
            </w:r>
          </w:p>
        </w:tc>
        <w:tc>
          <w:tcPr>
            <w:tcW w:w="3544" w:type="dxa"/>
            <w:shd w:val="clear" w:color="auto" w:fill="002060"/>
          </w:tcPr>
          <w:p w:rsidR="0050714F" w:rsidRPr="000B53BB" w:rsidRDefault="0050714F" w:rsidP="000B53BB">
            <w:pPr>
              <w:pStyle w:val="ListParagraph"/>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ListParagraph"/>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
                <w:bCs/>
                <w:sz w:val="20"/>
                <w:szCs w:val="20"/>
              </w:rPr>
              <w:t>Solicitud de Pedido</w:t>
            </w:r>
          </w:p>
        </w:tc>
        <w:tc>
          <w:tcPr>
            <w:tcW w:w="3544" w:type="dxa"/>
            <w:tcBorders>
              <w:top w:val="single" w:sz="8" w:space="0" w:color="000000"/>
              <w:bottom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que especifican los requerimientos de cada una de las áreas solicitantes. Estos requerimientos orientados a productos, servicios, maquinarias, equipos y bienes.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Área solicitante</w:t>
            </w:r>
          </w:p>
        </w:tc>
      </w:tr>
      <w:tr w:rsidR="0050714F" w:rsidRPr="000B53BB" w:rsidTr="000B53BB">
        <w:trPr>
          <w:trHeight w:val="287"/>
          <w:jc w:val="center"/>
        </w:trPr>
        <w:tc>
          <w:tcPr>
            <w:tcW w:w="1962" w:type="dxa"/>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Factura</w:t>
            </w:r>
          </w:p>
        </w:tc>
        <w:tc>
          <w:tcPr>
            <w:tcW w:w="3544" w:type="dxa"/>
          </w:tcPr>
          <w:p w:rsidR="0050714F" w:rsidRPr="000B53BB" w:rsidRDefault="0050714F" w:rsidP="000B53BB">
            <w:pPr>
              <w:pStyle w:val="ListParagraph"/>
              <w:tabs>
                <w:tab w:val="left" w:pos="3079"/>
              </w:tabs>
              <w:ind w:left="0"/>
              <w:rPr>
                <w:rFonts w:ascii="Calibri" w:hAnsi="Calibri" w:cs="Calibri"/>
                <w:sz w:val="20"/>
                <w:szCs w:val="20"/>
              </w:rPr>
            </w:pPr>
            <w:r w:rsidRPr="000B53BB">
              <w:rPr>
                <w:rFonts w:ascii="Calibri" w:hAnsi="Calibri" w:cs="Calibr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Proveedor</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Guía de Remisión</w:t>
            </w:r>
          </w:p>
        </w:tc>
        <w:tc>
          <w:tcPr>
            <w:tcW w:w="3544" w:type="dxa"/>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Documento que es enviado por parte del proveedor ante una orden de compra, como constancia de envío de productos.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Proveedor</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Heading2"/>
        <w:spacing w:line="360" w:lineRule="auto"/>
        <w:rPr>
          <w:rFonts w:ascii="Calibri" w:hAnsi="Calibri" w:cs="Calibri"/>
          <w:lang w:val="es-PE"/>
        </w:rPr>
      </w:pPr>
      <w:bookmarkStart w:id="11" w:name="_Toc292018119"/>
      <w:r w:rsidRPr="00FD0DF7">
        <w:rPr>
          <w:rFonts w:ascii="Calibri" w:hAnsi="Calibri" w:cs="Calibri"/>
          <w:lang w:val="es-PE"/>
        </w:rPr>
        <w:t>1.</w:t>
      </w:r>
      <w:r>
        <w:rPr>
          <w:rFonts w:ascii="Calibri" w:hAnsi="Calibri" w:cs="Calibri"/>
          <w:lang w:val="es-PE"/>
        </w:rPr>
        <w:t>6</w:t>
      </w:r>
      <w:r w:rsidRPr="00FD0DF7">
        <w:rPr>
          <w:rFonts w:ascii="Calibri" w:hAnsi="Calibri" w:cs="Calibri"/>
          <w:lang w:val="es-PE"/>
        </w:rPr>
        <w:tab/>
      </w:r>
      <w:r>
        <w:rPr>
          <w:rFonts w:ascii="Calibri" w:hAnsi="Calibri" w:cs="Calibri"/>
          <w:lang w:val="es-PE"/>
        </w:rPr>
        <w:t>Salidas del Proceso</w:t>
      </w:r>
      <w:bookmarkEnd w:id="11"/>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62"/>
        <w:gridCol w:w="3544"/>
        <w:gridCol w:w="2819"/>
      </w:tblGrid>
      <w:tr w:rsidR="0050714F" w:rsidRPr="000B53BB" w:rsidTr="000B53BB">
        <w:trPr>
          <w:trHeight w:val="287"/>
          <w:jc w:val="center"/>
        </w:trPr>
        <w:tc>
          <w:tcPr>
            <w:tcW w:w="1962" w:type="dxa"/>
            <w:shd w:val="clear" w:color="auto" w:fill="002060"/>
          </w:tcPr>
          <w:p w:rsidR="0050714F" w:rsidRPr="000B53BB" w:rsidRDefault="0050714F" w:rsidP="000B53BB">
            <w:pPr>
              <w:pStyle w:val="ListParagraph"/>
              <w:tabs>
                <w:tab w:val="left" w:pos="240"/>
                <w:tab w:val="center" w:pos="873"/>
                <w:tab w:val="center" w:pos="1198"/>
              </w:tabs>
              <w:ind w:left="0"/>
              <w:contextualSpacing/>
              <w:rPr>
                <w:rFonts w:ascii="Calibri" w:hAnsi="Calibri" w:cs="Calibri"/>
                <w:b/>
                <w:bCs/>
                <w:color w:val="FFFFFF"/>
                <w:sz w:val="20"/>
                <w:szCs w:val="20"/>
              </w:rPr>
            </w:pPr>
            <w:r w:rsidRPr="000B53BB">
              <w:rPr>
                <w:rFonts w:ascii="Calibri" w:hAnsi="Calibri" w:cs="Calibri"/>
                <w:b/>
                <w:bCs/>
                <w:color w:val="FFFFFF"/>
                <w:sz w:val="20"/>
                <w:szCs w:val="20"/>
              </w:rPr>
              <w:tab/>
            </w:r>
            <w:r w:rsidRPr="000B53BB">
              <w:rPr>
                <w:rFonts w:ascii="Calibri" w:hAnsi="Calibri" w:cs="Calibri"/>
                <w:b/>
                <w:bCs/>
                <w:color w:val="FFFFFF"/>
                <w:sz w:val="20"/>
                <w:szCs w:val="20"/>
              </w:rPr>
              <w:tab/>
              <w:t>Salida</w:t>
            </w:r>
          </w:p>
        </w:tc>
        <w:tc>
          <w:tcPr>
            <w:tcW w:w="3544" w:type="dxa"/>
            <w:shd w:val="clear" w:color="auto" w:fill="002060"/>
          </w:tcPr>
          <w:p w:rsidR="0050714F" w:rsidRPr="000B53BB" w:rsidRDefault="0050714F" w:rsidP="000B53BB">
            <w:pPr>
              <w:pStyle w:val="ListParagraph"/>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ListParagraph"/>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Cs/>
                <w:sz w:val="20"/>
                <w:szCs w:val="20"/>
              </w:rPr>
              <w:t>Orden de Compra</w:t>
            </w:r>
          </w:p>
        </w:tc>
        <w:tc>
          <w:tcPr>
            <w:tcW w:w="3544" w:type="dxa"/>
            <w:tcBorders>
              <w:top w:val="single" w:sz="8" w:space="0" w:color="000000"/>
              <w:bottom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dirigida a un proveedor específico donde se detalla los productos y cantidades a comprar de los productos o servicios que ofrece.</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Logística</w:t>
            </w:r>
          </w:p>
        </w:tc>
      </w:tr>
      <w:tr w:rsidR="0050714F" w:rsidRPr="000B53BB" w:rsidTr="000B53BB">
        <w:trPr>
          <w:trHeight w:val="145"/>
          <w:jc w:val="center"/>
        </w:trPr>
        <w:tc>
          <w:tcPr>
            <w:tcW w:w="1962" w:type="dxa"/>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Reporte de entradas</w:t>
            </w:r>
          </w:p>
        </w:tc>
        <w:tc>
          <w:tcPr>
            <w:tcW w:w="3544" w:type="dxa"/>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entradas de los productos internos y finales según cada almacén, por cantidades según fechas.</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Reporte de salidas</w:t>
            </w:r>
          </w:p>
        </w:tc>
        <w:tc>
          <w:tcPr>
            <w:tcW w:w="3544" w:type="dxa"/>
            <w:tcBorders>
              <w:top w:val="single" w:sz="8" w:space="0" w:color="000000"/>
              <w:bottom w:val="single" w:sz="8" w:space="0" w:color="000000"/>
            </w:tcBorders>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salidas de los productos internos y finales según cada almacén, por cantidades según fechas.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Reporte de inventario de productos por almacén.</w:t>
            </w:r>
          </w:p>
        </w:tc>
        <w:tc>
          <w:tcPr>
            <w:tcW w:w="3544" w:type="dxa"/>
          </w:tcPr>
          <w:p w:rsidR="0050714F" w:rsidRPr="000B53BB" w:rsidRDefault="0050714F" w:rsidP="000B53BB">
            <w:pPr>
              <w:pStyle w:val="ListParagraph"/>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Reporte de inventarios en base a los reportes de entradas y salidas de productos por almacén.</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rPr>
                <w:rFonts w:ascii="Calibri" w:hAnsi="Calibri" w:cs="Calibri"/>
                <w:b/>
                <w:bCs/>
                <w:sz w:val="20"/>
                <w:szCs w:val="20"/>
              </w:rPr>
            </w:pPr>
            <w:r w:rsidRPr="000B53BB">
              <w:rPr>
                <w:rFonts w:ascii="Calibri" w:hAnsi="Calibri" w:cs="Calibri"/>
                <w:sz w:val="20"/>
                <w:szCs w:val="20"/>
              </w:rPr>
              <w:t>Factura</w:t>
            </w:r>
          </w:p>
        </w:tc>
        <w:tc>
          <w:tcPr>
            <w:tcW w:w="3544" w:type="dxa"/>
            <w:tcBorders>
              <w:top w:val="single" w:sz="8" w:space="0" w:color="000000"/>
              <w:bottom w:val="single" w:sz="8" w:space="0" w:color="000000"/>
            </w:tcBorders>
          </w:tcPr>
          <w:p w:rsidR="0050714F" w:rsidRPr="000B53BB" w:rsidRDefault="0050714F" w:rsidP="000B53BB">
            <w:pPr>
              <w:pStyle w:val="ListParagraph"/>
              <w:tabs>
                <w:tab w:val="left" w:pos="3079"/>
              </w:tabs>
              <w:ind w:left="0"/>
              <w:rPr>
                <w:rFonts w:ascii="Calibri" w:hAnsi="Calibri" w:cs="Calibri"/>
                <w:sz w:val="20"/>
                <w:szCs w:val="20"/>
              </w:rPr>
            </w:pPr>
            <w:r w:rsidRPr="000B53BB">
              <w:rPr>
                <w:rFonts w:ascii="Calibri" w:hAnsi="Calibri" w:cs="Calibri"/>
                <w:sz w:val="20"/>
                <w:szCs w:val="20"/>
              </w:rPr>
              <w:t>Documento que permite el control de los movimientos contables, indica las cantidades, productos y precios de cada producto que es solicitado por el área de logística al proveedor. Enviado por la gerencia de logística a la gerencia de contabilidad para su debida gestión.</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Proveedor</w:t>
            </w:r>
          </w:p>
        </w:tc>
      </w:tr>
    </w:tbl>
    <w:p w:rsidR="0050714F" w:rsidRPr="002A48D4" w:rsidRDefault="0050714F" w:rsidP="002A48D4">
      <w:pPr>
        <w:spacing w:line="360" w:lineRule="auto"/>
        <w:jc w:val="both"/>
        <w:outlineLvl w:val="0"/>
        <w:rPr>
          <w:rFonts w:ascii="Arial" w:hAnsi="Arial" w:cs="Arial"/>
          <w:b/>
          <w:lang w:val="es-ES"/>
        </w:rPr>
      </w:pPr>
    </w:p>
    <w:p w:rsidR="0050714F" w:rsidRPr="005B2A6C" w:rsidRDefault="0050714F" w:rsidP="005B2A6C">
      <w:pPr>
        <w:pStyle w:val="Heading2"/>
        <w:spacing w:line="360" w:lineRule="auto"/>
        <w:rPr>
          <w:rFonts w:ascii="Calibri" w:hAnsi="Calibri" w:cs="Calibri"/>
          <w:lang w:val="es-PE"/>
        </w:rPr>
      </w:pPr>
      <w:bookmarkStart w:id="12" w:name="_Toc292018120"/>
      <w:r w:rsidRPr="00FD0DF7">
        <w:rPr>
          <w:rFonts w:ascii="Calibri" w:hAnsi="Calibri" w:cs="Calibri"/>
          <w:lang w:val="es-PE"/>
        </w:rPr>
        <w:t>1.</w:t>
      </w:r>
      <w:r>
        <w:rPr>
          <w:rFonts w:ascii="Calibri" w:hAnsi="Calibri" w:cs="Calibri"/>
          <w:lang w:val="es-PE"/>
        </w:rPr>
        <w:t>7</w:t>
      </w:r>
      <w:r w:rsidRPr="00FD0DF7">
        <w:rPr>
          <w:rFonts w:ascii="Calibri" w:hAnsi="Calibri" w:cs="Calibri"/>
          <w:lang w:val="es-PE"/>
        </w:rPr>
        <w:tab/>
      </w:r>
      <w:r>
        <w:rPr>
          <w:rFonts w:ascii="Calibri" w:hAnsi="Calibri" w:cs="Calibri"/>
          <w:lang w:val="es-PE"/>
        </w:rPr>
        <w:t>Caracterización</w:t>
      </w:r>
      <w:bookmarkEnd w:id="12"/>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5"/>
        <w:gridCol w:w="2127"/>
        <w:gridCol w:w="1917"/>
        <w:gridCol w:w="1798"/>
        <w:gridCol w:w="1955"/>
        <w:gridCol w:w="1701"/>
      </w:tblGrid>
      <w:tr w:rsidR="0050714F" w:rsidRPr="000B53BB" w:rsidTr="000B53BB">
        <w:trPr>
          <w:trHeight w:val="242"/>
        </w:trPr>
        <w:tc>
          <w:tcPr>
            <w:tcW w:w="675" w:type="dxa"/>
            <w:shd w:val="clear" w:color="auto" w:fill="002060"/>
          </w:tcPr>
          <w:p w:rsidR="0050714F" w:rsidRPr="000B53BB" w:rsidRDefault="0050714F" w:rsidP="000B53BB">
            <w:pPr>
              <w:pStyle w:val="ListParagraph"/>
              <w:ind w:left="0"/>
              <w:rPr>
                <w:rFonts w:ascii="Calibri" w:hAnsi="Calibri" w:cs="Calibri"/>
                <w:b/>
                <w:bCs/>
                <w:sz w:val="20"/>
                <w:szCs w:val="20"/>
              </w:rPr>
            </w:pPr>
          </w:p>
        </w:tc>
        <w:tc>
          <w:tcPr>
            <w:tcW w:w="2127" w:type="dxa"/>
            <w:shd w:val="clear" w:color="auto" w:fill="002060"/>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Entrada</w:t>
            </w:r>
          </w:p>
        </w:tc>
        <w:tc>
          <w:tcPr>
            <w:tcW w:w="1917" w:type="dxa"/>
            <w:shd w:val="clear" w:color="auto" w:fill="002060"/>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Actividad</w:t>
            </w:r>
          </w:p>
        </w:tc>
        <w:tc>
          <w:tcPr>
            <w:tcW w:w="1798" w:type="dxa"/>
            <w:shd w:val="clear" w:color="auto" w:fill="002060"/>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Salida</w:t>
            </w:r>
          </w:p>
        </w:tc>
        <w:tc>
          <w:tcPr>
            <w:tcW w:w="1955" w:type="dxa"/>
            <w:shd w:val="clear" w:color="auto" w:fill="002060"/>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Descripción</w:t>
            </w:r>
          </w:p>
        </w:tc>
        <w:tc>
          <w:tcPr>
            <w:tcW w:w="1701" w:type="dxa"/>
            <w:shd w:val="clear" w:color="auto" w:fill="002060"/>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Responsable</w:t>
            </w:r>
          </w:p>
        </w:tc>
      </w:tr>
      <w:tr w:rsidR="0050714F" w:rsidRPr="000B53BB" w:rsidTr="000B53BB">
        <w:trPr>
          <w:trHeight w:val="562"/>
        </w:trPr>
        <w:tc>
          <w:tcPr>
            <w:tcW w:w="675" w:type="dxa"/>
            <w:tcBorders>
              <w:top w:val="single" w:sz="8" w:space="0" w:color="000000"/>
              <w:left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Cs/>
                <w:sz w:val="20"/>
                <w:szCs w:val="20"/>
              </w:rPr>
              <w:t>1</w:t>
            </w: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Cs/>
                <w:sz w:val="20"/>
                <w:szCs w:val="20"/>
              </w:rPr>
            </w:pPr>
            <w:r w:rsidRPr="000B53BB">
              <w:rPr>
                <w:rFonts w:ascii="Calibri" w:hAnsi="Calibri" w:cs="Calibri"/>
                <w:bCs/>
                <w:sz w:val="20"/>
                <w:szCs w:val="20"/>
              </w:rPr>
              <w:t>-</w:t>
            </w:r>
          </w:p>
        </w:tc>
        <w:tc>
          <w:tcPr>
            <w:tcW w:w="191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Inicio</w:t>
            </w: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inicia el proceso de gestión logística con la recepción de una solicitud de pedido por parte de una o más áreas solicitantes</w:t>
            </w: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695"/>
        </w:trPr>
        <w:tc>
          <w:tcPr>
            <w:tcW w:w="675" w:type="dxa"/>
            <w:vMerge w:val="restart"/>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sz w:val="20"/>
                <w:szCs w:val="20"/>
              </w:rPr>
              <w:t>2</w:t>
            </w:r>
          </w:p>
        </w:tc>
        <w:tc>
          <w:tcPr>
            <w:tcW w:w="2127" w:type="dxa"/>
            <w:vMerge w:val="restart"/>
            <w:vAlign w:val="center"/>
          </w:tcPr>
          <w:p w:rsidR="0050714F" w:rsidRPr="000B53BB" w:rsidRDefault="0050714F" w:rsidP="000B53BB">
            <w:pPr>
              <w:pStyle w:val="ListParagraph"/>
              <w:ind w:left="0"/>
              <w:jc w:val="center"/>
              <w:rPr>
                <w:rFonts w:ascii="Calibri" w:hAnsi="Calibri" w:cs="Calibri"/>
                <w:bCs/>
                <w:sz w:val="20"/>
                <w:szCs w:val="20"/>
              </w:rPr>
            </w:pPr>
            <w:r w:rsidRPr="000B53BB">
              <w:rPr>
                <w:rFonts w:ascii="Calibri" w:hAnsi="Calibri" w:cs="Calibri"/>
                <w:bCs/>
                <w:sz w:val="20"/>
                <w:szCs w:val="20"/>
              </w:rPr>
              <w:t>Solicitud de pedido</w:t>
            </w:r>
          </w:p>
        </w:tc>
        <w:tc>
          <w:tcPr>
            <w:tcW w:w="191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Verificar stock</w:t>
            </w: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vMerge w:val="restart"/>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De la solicitud de pedido, se analiza la cantidad por  producto existente (si existe stock disponible o no). De esta forma, si no existe stock suficiente se pasará al proceso de compras de productos. Por otro lado, si hay stock suficiente, se enviará  la solicitud de pedido respectiva, que ayudará a gestionar el control de salidas del almacén.</w:t>
            </w: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695"/>
        </w:trPr>
        <w:tc>
          <w:tcPr>
            <w:tcW w:w="675" w:type="dxa"/>
            <w:vMerge/>
            <w:tcBorders>
              <w:top w:val="single" w:sz="8" w:space="0" w:color="000000"/>
              <w:left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Cs/>
                <w:sz w:val="20"/>
                <w:szCs w:val="20"/>
              </w:rPr>
            </w:pPr>
          </w:p>
        </w:tc>
        <w:tc>
          <w:tcPr>
            <w:tcW w:w="1917" w:type="dxa"/>
            <w:vMerge/>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Si hay stock suficiente</w:t>
            </w:r>
          </w:p>
        </w:tc>
        <w:tc>
          <w:tcPr>
            <w:tcW w:w="1955" w:type="dxa"/>
            <w:vMerge/>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693"/>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bCs/>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No existe stock suficiente</w:t>
            </w: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96A47">
        <w:trPr>
          <w:trHeight w:val="452"/>
        </w:trPr>
        <w:tc>
          <w:tcPr>
            <w:tcW w:w="675" w:type="dxa"/>
            <w:vMerge w:val="restart"/>
            <w:tcBorders>
              <w:top w:val="single" w:sz="8" w:space="0" w:color="000000"/>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3</w:t>
            </w: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No hay stock suficiente</w:t>
            </w: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tc>
        <w:tc>
          <w:tcPr>
            <w:tcW w:w="1917" w:type="dxa"/>
            <w:vMerge w:val="restart"/>
            <w:tcBorders>
              <w:top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Planificación de Compras</w:t>
            </w: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50714F" w:rsidRPr="000B53BB" w:rsidRDefault="0050714F" w:rsidP="000B53BB">
            <w:pPr>
              <w:pStyle w:val="ListParagraph"/>
              <w:ind w:left="0"/>
              <w:jc w:val="center"/>
              <w:rPr>
                <w:rFonts w:ascii="Calibri" w:hAnsi="Calibri" w:cs="Calibri"/>
                <w:sz w:val="20"/>
                <w:szCs w:val="20"/>
              </w:rPr>
            </w:pPr>
          </w:p>
        </w:tc>
        <w:tc>
          <w:tcPr>
            <w:tcW w:w="1955" w:type="dxa"/>
            <w:vMerge w:val="restart"/>
            <w:tcBorders>
              <w:top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tcBorders>
              <w:top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5344D9" w:rsidTr="00096A47">
        <w:trPr>
          <w:trHeight w:val="553"/>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Solicitud de pedido</w:t>
            </w: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compras de maquinarias, equipos y bienes</w:t>
            </w:r>
          </w:p>
          <w:p w:rsidR="0050714F" w:rsidRPr="000B53BB" w:rsidRDefault="0050714F" w:rsidP="000B53BB">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1C3CDC">
        <w:trPr>
          <w:trHeight w:val="277"/>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2F7248">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096A47">
        <w:trPr>
          <w:trHeight w:val="276"/>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2F7248">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50714F" w:rsidRPr="000B53BB" w:rsidRDefault="0050714F" w:rsidP="002F7248">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96A47">
        <w:trPr>
          <w:trHeight w:val="368"/>
        </w:trPr>
        <w:tc>
          <w:tcPr>
            <w:tcW w:w="675" w:type="dxa"/>
            <w:vMerge/>
            <w:tcBorders>
              <w:left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tcBorders>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tcBorders>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55" w:type="dxa"/>
            <w:vMerge/>
            <w:tcBorders>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0B53BB">
        <w:trPr>
          <w:trHeight w:val="375"/>
        </w:trPr>
        <w:tc>
          <w:tcPr>
            <w:tcW w:w="675" w:type="dxa"/>
            <w:vMerge w:val="restart"/>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4</w:t>
            </w:r>
          </w:p>
        </w:tc>
        <w:tc>
          <w:tcPr>
            <w:tcW w:w="2127"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compras de maquinarias, equipos y bienes</w:t>
            </w:r>
          </w:p>
        </w:tc>
        <w:tc>
          <w:tcPr>
            <w:tcW w:w="191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Definir tipo de adquisición</w:t>
            </w:r>
          </w:p>
        </w:tc>
        <w:tc>
          <w:tcPr>
            <w:tcW w:w="1798"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compras de productos internos</w:t>
            </w:r>
          </w:p>
        </w:tc>
        <w:tc>
          <w:tcPr>
            <w:tcW w:w="1955" w:type="dxa"/>
            <w:vMerge w:val="restart"/>
            <w:vAlign w:val="center"/>
          </w:tcPr>
          <w:p w:rsidR="0050714F" w:rsidRDefault="0050714F" w:rsidP="000B53BB">
            <w:pPr>
              <w:pStyle w:val="ListParagraph"/>
              <w:ind w:left="0"/>
              <w:rPr>
                <w:rFonts w:ascii="Calibri" w:hAnsi="Calibri" w:cs="Calibri"/>
                <w:sz w:val="20"/>
                <w:szCs w:val="20"/>
              </w:rPr>
            </w:pPr>
            <w:r w:rsidRPr="000B53BB">
              <w:rPr>
                <w:rFonts w:ascii="Calibri" w:hAnsi="Calibri" w:cs="Calibri"/>
                <w:sz w:val="20"/>
                <w:szCs w:val="20"/>
              </w:rPr>
              <w:t>Se define el tipo de adquisición para cada proceso de compra. De esta forma, el tipo de compra está definido de dos maneras: Se pueden realizar compras de productos internos que serán adquiridas de acuerdo al plan de compras de productos internos. Por otro lado,  se pueden realizar la adquisición de maquinarias, equipos y bienes, las cuales están definidas de acuerdo al plan de adquisición de maquinarias, equipos y bienes. Asimismo, se le enviará la solicitud de pedidos.</w:t>
            </w:r>
            <w:r>
              <w:rPr>
                <w:rFonts w:ascii="Calibri" w:hAnsi="Calibri" w:cs="Calibri"/>
                <w:sz w:val="20"/>
                <w:szCs w:val="20"/>
              </w:rPr>
              <w:t xml:space="preserve"> En caso exista una planificación extraordinaria de compras, este proceso recibirá adicionalmente dicho plan. </w:t>
            </w:r>
          </w:p>
          <w:p w:rsidR="0050714F" w:rsidRPr="000B53BB" w:rsidRDefault="0050714F" w:rsidP="000B53BB">
            <w:pPr>
              <w:pStyle w:val="ListParagraph"/>
              <w:ind w:left="0"/>
              <w:rPr>
                <w:rFonts w:ascii="Calibri" w:hAnsi="Calibri" w:cs="Calibri"/>
                <w:sz w:val="20"/>
                <w:szCs w:val="20"/>
              </w:rPr>
            </w:pP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1C3CDC" w:rsidTr="00065481">
        <w:trPr>
          <w:trHeight w:val="244"/>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restart"/>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5344D9" w:rsidTr="001C3CDC">
        <w:trPr>
          <w:trHeight w:val="753"/>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adquisición de maquinarias, equipos y bienes</w:t>
            </w: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1C3CDC">
        <w:trPr>
          <w:trHeight w:val="369"/>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restart"/>
            <w:tcBorders>
              <w:top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bottom w:val="single" w:sz="8" w:space="0" w:color="000000"/>
            </w:tcBorders>
            <w:vAlign w:val="center"/>
          </w:tcPr>
          <w:p w:rsidR="0050714F" w:rsidRPr="000B53BB" w:rsidRDefault="0050714F" w:rsidP="002F7248">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F01ECE">
        <w:trPr>
          <w:trHeight w:val="368"/>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bottom w:val="single" w:sz="8" w:space="0" w:color="000000"/>
            </w:tcBorders>
            <w:vAlign w:val="center"/>
          </w:tcPr>
          <w:p w:rsidR="0050714F" w:rsidRPr="001C3CDC" w:rsidRDefault="0050714F" w:rsidP="002F7248">
            <w:pPr>
              <w:pStyle w:val="NoSpacing"/>
              <w:jc w:val="center"/>
              <w:rPr>
                <w:rFonts w:cs="Calibri"/>
                <w:sz w:val="20"/>
                <w:szCs w:val="20"/>
                <w:lang w:val="es-ES"/>
              </w:rPr>
            </w:pPr>
            <w:r w:rsidRPr="001C3CDC">
              <w:rPr>
                <w:rFonts w:cs="Calibri"/>
                <w:sz w:val="20"/>
                <w:szCs w:val="20"/>
                <w:lang w:val="es-ES"/>
              </w:rPr>
              <w:t>Plan extraordinario de compras de maquinarias, equipos y bienes</w:t>
            </w:r>
          </w:p>
          <w:p w:rsidR="0050714F" w:rsidRPr="001C3CDC" w:rsidRDefault="0050714F" w:rsidP="002F7248">
            <w:pPr>
              <w:pStyle w:val="NoSpacing"/>
              <w:jc w:val="center"/>
              <w:rPr>
                <w:rFonts w:cs="Calibri"/>
                <w:sz w:val="20"/>
                <w:szCs w:val="20"/>
                <w:lang w:val="es-ES"/>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1C3CDC">
        <w:trPr>
          <w:trHeight w:val="2144"/>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Align w:val="center"/>
          </w:tcPr>
          <w:p w:rsidR="0050714F" w:rsidRPr="000B53BB" w:rsidRDefault="0050714F" w:rsidP="002F7248">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1C3CDC" w:rsidTr="001C3CDC">
        <w:trPr>
          <w:trHeight w:val="2143"/>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Align w:val="center"/>
          </w:tcPr>
          <w:p w:rsidR="0050714F" w:rsidRPr="000B53BB" w:rsidRDefault="0050714F" w:rsidP="002F7248">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50714F" w:rsidRPr="000B53BB" w:rsidRDefault="0050714F" w:rsidP="002F7248">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86549F">
        <w:trPr>
          <w:trHeight w:val="1223"/>
        </w:trPr>
        <w:tc>
          <w:tcPr>
            <w:tcW w:w="675" w:type="dxa"/>
            <w:vMerge w:val="restart"/>
            <w:tcBorders>
              <w:top w:val="single" w:sz="8" w:space="0" w:color="000000"/>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5</w:t>
            </w: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adquisición de maquinarias, equipos y bienes</w:t>
            </w: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tc>
        <w:tc>
          <w:tcPr>
            <w:tcW w:w="1917" w:type="dxa"/>
            <w:vMerge w:val="restart"/>
            <w:tcBorders>
              <w:top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Gestión de contratos de bienes, maquinarias y equipos</w:t>
            </w:r>
          </w:p>
        </w:tc>
        <w:tc>
          <w:tcPr>
            <w:tcW w:w="1798" w:type="dxa"/>
            <w:vMerge w:val="restart"/>
            <w:tcBorders>
              <w:top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Portafolio de contratos realizados</w:t>
            </w:r>
          </w:p>
        </w:tc>
        <w:tc>
          <w:tcPr>
            <w:tcW w:w="1955" w:type="dxa"/>
            <w:vMerge w:val="restart"/>
            <w:tcBorders>
              <w:top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la realización de contratos de bienes, maquinarias o equipos (de acuerdo al plan de adquisición de maquinarias, equipos y bienes) que impliquen un valor económico elevado y que sean considerados como activos fijos de la empresa. Estos contratos se regirán en base a términos legales, económicos y de transporte (para el caso de importaciones). Los contratos gestionados (portafolio de contratos) seguirán un proceso de evaluación por la gerencia legal, de los cuales, posteriormente se recibirá un resultado de aprobación o desaprobación (resultados del portafolio de contratos). Una vez aprobado un contrato esté se añadirá al Portafolio de contratos realizados.</w:t>
            </w:r>
          </w:p>
          <w:p w:rsidR="0050714F" w:rsidRPr="000B53BB" w:rsidRDefault="0050714F" w:rsidP="000B53BB">
            <w:pPr>
              <w:pStyle w:val="ListParagraph"/>
              <w:ind w:left="0"/>
              <w:rPr>
                <w:rFonts w:ascii="Calibri" w:hAnsi="Calibri" w:cs="Calibri"/>
                <w:sz w:val="20"/>
                <w:szCs w:val="20"/>
              </w:rPr>
            </w:pPr>
          </w:p>
        </w:tc>
        <w:tc>
          <w:tcPr>
            <w:tcW w:w="1701" w:type="dxa"/>
            <w:vMerge w:val="restart"/>
            <w:tcBorders>
              <w:top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1C3CDC" w:rsidTr="008D14DC">
        <w:trPr>
          <w:trHeight w:val="1222"/>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50714F" w:rsidRPr="000B53BB" w:rsidRDefault="0050714F" w:rsidP="001C3CDC">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F7009F">
        <w:trPr>
          <w:trHeight w:val="3893"/>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Resultados del Portafolio de contratos</w:t>
            </w: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val="restart"/>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Portafolio de contratos</w:t>
            </w: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F7009F">
        <w:trPr>
          <w:trHeight w:val="3893"/>
        </w:trPr>
        <w:tc>
          <w:tcPr>
            <w:tcW w:w="675" w:type="dxa"/>
            <w:vMerge/>
            <w:tcBorders>
              <w:left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Align w:val="center"/>
          </w:tcPr>
          <w:p w:rsidR="0050714F" w:rsidRPr="000B53BB" w:rsidRDefault="0050714F" w:rsidP="000B53BB">
            <w:pPr>
              <w:pStyle w:val="ListParagraph"/>
              <w:ind w:left="0"/>
              <w:jc w:val="center"/>
              <w:rPr>
                <w:rFonts w:ascii="Calibri" w:hAnsi="Calibri" w:cs="Calibri"/>
                <w:sz w:val="20"/>
                <w:szCs w:val="20"/>
              </w:rPr>
            </w:pPr>
            <w:r>
              <w:rPr>
                <w:rFonts w:ascii="Calibri" w:hAnsi="Calibri" w:cs="Calibri"/>
                <w:sz w:val="20"/>
                <w:szCs w:val="20"/>
              </w:rPr>
              <w:t>Solicitud de pedido</w:t>
            </w: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vAlign w:val="center"/>
          </w:tcPr>
          <w:p w:rsidR="0050714F" w:rsidRPr="000B53BB" w:rsidRDefault="0050714F" w:rsidP="000B53BB">
            <w:pPr>
              <w:pStyle w:val="ListParagraph"/>
              <w:ind w:left="0"/>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245"/>
        </w:trPr>
        <w:tc>
          <w:tcPr>
            <w:tcW w:w="675" w:type="dxa"/>
            <w:tcBorders>
              <w:top w:val="single" w:sz="8" w:space="0" w:color="000000"/>
              <w:left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6</w:t>
            </w: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Portafolio de contratos</w:t>
            </w:r>
          </w:p>
        </w:tc>
        <w:tc>
          <w:tcPr>
            <w:tcW w:w="191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Gestión de Contratos</w:t>
            </w: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color w:val="FF0000"/>
                <w:sz w:val="20"/>
                <w:szCs w:val="20"/>
              </w:rPr>
            </w:pPr>
            <w:r w:rsidRPr="000B53BB">
              <w:rPr>
                <w:rFonts w:ascii="Calibri" w:hAnsi="Calibri" w:cs="Calibri"/>
                <w:sz w:val="20"/>
                <w:szCs w:val="20"/>
              </w:rPr>
              <w:t>Resultados del Portafolio de contratos</w:t>
            </w:r>
          </w:p>
        </w:tc>
        <w:tc>
          <w:tcPr>
            <w:tcW w:w="1955" w:type="dxa"/>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evaluar la consistencia legal de los contratos, de acuerdo a los estándares y políticas de empresa, así posteriormente poder continuar con el flujo correspondiente del proceso. De esta forma, una vez realizada la evaluación, la gerencia legal se encargará de enviar a la gerencia de logística el resultado obtenido de la evaluación del portafolio de contratos.</w:t>
            </w:r>
          </w:p>
          <w:p w:rsidR="0050714F" w:rsidRPr="000B53BB" w:rsidRDefault="0050714F" w:rsidP="000B53BB">
            <w:pPr>
              <w:pStyle w:val="ListParagraph"/>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Legal</w:t>
            </w:r>
          </w:p>
        </w:tc>
      </w:tr>
      <w:tr w:rsidR="0050714F" w:rsidRPr="000B53BB" w:rsidTr="001C3CDC">
        <w:trPr>
          <w:trHeight w:val="611"/>
        </w:trPr>
        <w:tc>
          <w:tcPr>
            <w:tcW w:w="675" w:type="dxa"/>
            <w:vMerge w:val="restart"/>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sz w:val="20"/>
                <w:szCs w:val="20"/>
              </w:rPr>
              <w:t>7</w:t>
            </w:r>
          </w:p>
        </w:tc>
        <w:tc>
          <w:tcPr>
            <w:tcW w:w="2127"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Plan de compras de productos internos</w:t>
            </w:r>
          </w:p>
          <w:p w:rsidR="0050714F" w:rsidRPr="000B53BB" w:rsidRDefault="0050714F" w:rsidP="000B53BB">
            <w:pPr>
              <w:pStyle w:val="ListParagraph"/>
              <w:ind w:left="0"/>
              <w:jc w:val="center"/>
              <w:rPr>
                <w:rFonts w:ascii="Calibri" w:hAnsi="Calibri" w:cs="Calibri"/>
                <w:sz w:val="20"/>
                <w:szCs w:val="20"/>
              </w:rPr>
            </w:pPr>
          </w:p>
        </w:tc>
        <w:tc>
          <w:tcPr>
            <w:tcW w:w="191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Compras de productos internos</w:t>
            </w:r>
          </w:p>
        </w:tc>
        <w:tc>
          <w:tcPr>
            <w:tcW w:w="1798"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restart"/>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realizar las órdenes de compra, destinadas al proveedor, en base a los productos solicitados por las áreas. Una vez tramitada  la orden de compra, se enviará  la solicitud de pedido respectiva al responsable interesado, que ayudará a gestionar el control de salidas del almacén.</w:t>
            </w:r>
          </w:p>
          <w:p w:rsidR="0050714F" w:rsidRPr="000B53BB" w:rsidRDefault="0050714F" w:rsidP="000B53BB">
            <w:pPr>
              <w:pStyle w:val="ListParagraph"/>
              <w:ind w:left="0"/>
              <w:rPr>
                <w:rFonts w:ascii="Calibri" w:hAnsi="Calibri" w:cs="Calibri"/>
                <w:sz w:val="20"/>
                <w:szCs w:val="20"/>
              </w:rPr>
            </w:pP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1C3CDC" w:rsidTr="000B53BB">
        <w:trPr>
          <w:trHeight w:val="611"/>
        </w:trPr>
        <w:tc>
          <w:tcPr>
            <w:tcW w:w="675"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2127" w:type="dxa"/>
            <w:vAlign w:val="center"/>
          </w:tcPr>
          <w:p w:rsidR="0050714F" w:rsidRPr="000B53BB" w:rsidRDefault="0050714F" w:rsidP="001C3CDC">
            <w:pPr>
              <w:pStyle w:val="ListParagraph"/>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8C7484">
        <w:trPr>
          <w:trHeight w:val="1222"/>
        </w:trPr>
        <w:tc>
          <w:tcPr>
            <w:tcW w:w="675" w:type="dxa"/>
            <w:vMerge/>
            <w:tcBorders>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17" w:type="dxa"/>
            <w:vMerge/>
            <w:tcBorders>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55" w:type="dxa"/>
            <w:vMerge/>
            <w:tcBorders>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120"/>
        </w:trPr>
        <w:tc>
          <w:tcPr>
            <w:tcW w:w="675" w:type="dxa"/>
            <w:vMerge w:val="restart"/>
            <w:vAlign w:val="center"/>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8</w:t>
            </w:r>
          </w:p>
        </w:tc>
        <w:tc>
          <w:tcPr>
            <w:tcW w:w="212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Orden de Compra</w:t>
            </w:r>
          </w:p>
        </w:tc>
        <w:tc>
          <w:tcPr>
            <w:tcW w:w="1917"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Entrega de producto</w:t>
            </w: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Guía de Remisión</w:t>
            </w:r>
          </w:p>
        </w:tc>
        <w:tc>
          <w:tcPr>
            <w:tcW w:w="1955" w:type="dxa"/>
            <w:vMerge w:val="restart"/>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Proveedor</w:t>
            </w:r>
          </w:p>
        </w:tc>
      </w:tr>
      <w:tr w:rsidR="0050714F" w:rsidRPr="000B53BB" w:rsidTr="000B53BB">
        <w:trPr>
          <w:trHeight w:val="2277"/>
        </w:trPr>
        <w:tc>
          <w:tcPr>
            <w:tcW w:w="675" w:type="dxa"/>
            <w:vMerge/>
            <w:tcBorders>
              <w:top w:val="single" w:sz="8" w:space="0" w:color="000000"/>
              <w:left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tcBorders>
              <w:top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Factura</w:t>
            </w: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tc>
        <w:tc>
          <w:tcPr>
            <w:tcW w:w="1955" w:type="dxa"/>
            <w:vMerge/>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1624"/>
        </w:trPr>
        <w:tc>
          <w:tcPr>
            <w:tcW w:w="675" w:type="dxa"/>
            <w:vMerge/>
            <w:vAlign w:val="center"/>
          </w:tcPr>
          <w:p w:rsidR="0050714F" w:rsidRPr="000B53BB" w:rsidRDefault="0050714F" w:rsidP="000B53BB">
            <w:pPr>
              <w:pStyle w:val="ListParagraph"/>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917" w:type="dxa"/>
            <w:vMerge/>
            <w:vAlign w:val="center"/>
          </w:tcPr>
          <w:p w:rsidR="0050714F" w:rsidRPr="000B53BB" w:rsidRDefault="0050714F" w:rsidP="000B53BB">
            <w:pPr>
              <w:pStyle w:val="ListParagraph"/>
              <w:ind w:left="0"/>
              <w:jc w:val="center"/>
              <w:rPr>
                <w:rFonts w:ascii="Calibri" w:hAnsi="Calibri" w:cs="Calibri"/>
                <w:sz w:val="20"/>
                <w:szCs w:val="20"/>
              </w:rPr>
            </w:pPr>
          </w:p>
        </w:tc>
        <w:tc>
          <w:tcPr>
            <w:tcW w:w="1798"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ign w:val="center"/>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1222"/>
        </w:trPr>
        <w:tc>
          <w:tcPr>
            <w:tcW w:w="675" w:type="dxa"/>
            <w:vMerge w:val="restart"/>
            <w:tcBorders>
              <w:top w:val="single" w:sz="8" w:space="0" w:color="000000"/>
              <w:left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9</w:t>
            </w: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Guía de Remisión</w:t>
            </w:r>
          </w:p>
        </w:tc>
        <w:tc>
          <w:tcPr>
            <w:tcW w:w="1917" w:type="dxa"/>
            <w:vMerge w:val="restart"/>
            <w:tcBorders>
              <w:top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p>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Recepción de productos </w:t>
            </w:r>
          </w:p>
        </w:tc>
        <w:tc>
          <w:tcPr>
            <w:tcW w:w="1798" w:type="dxa"/>
            <w:tcBorders>
              <w:top w:val="single" w:sz="8" w:space="0" w:color="000000"/>
              <w:bottom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Reporte de entradas</w:t>
            </w:r>
          </w:p>
        </w:tc>
        <w:tc>
          <w:tcPr>
            <w:tcW w:w="1955" w:type="dxa"/>
            <w:vMerge w:val="restart"/>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Control del ingreso del producto al almacén destino, en base a la guía de remisión y orden de compra. Además, se recibe la factura que posteriormente seguirá un proceso de cancelación.</w:t>
            </w:r>
          </w:p>
          <w:p w:rsidR="0050714F" w:rsidRPr="000B53BB" w:rsidRDefault="0050714F" w:rsidP="000B53BB">
            <w:pPr>
              <w:pStyle w:val="ListParagraph"/>
              <w:ind w:left="0"/>
              <w:rPr>
                <w:rFonts w:ascii="Calibri" w:hAnsi="Calibri" w:cs="Calibri"/>
                <w:sz w:val="20"/>
                <w:szCs w:val="20"/>
              </w:rPr>
            </w:pPr>
          </w:p>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 xml:space="preserve"> Se elaborará un reporte de entradas donde se verán reflejados de forma detallada las compras realizadas (ingresos de productos).</w:t>
            </w:r>
          </w:p>
          <w:p w:rsidR="0050714F" w:rsidRPr="000B53BB" w:rsidRDefault="0050714F" w:rsidP="000B53BB">
            <w:pPr>
              <w:pStyle w:val="ListParagraph"/>
              <w:ind w:left="0"/>
              <w:rPr>
                <w:rFonts w:ascii="Calibri" w:hAnsi="Calibri" w:cs="Calibri"/>
                <w:sz w:val="20"/>
                <w:szCs w:val="20"/>
              </w:rPr>
            </w:pPr>
          </w:p>
        </w:tc>
        <w:tc>
          <w:tcPr>
            <w:tcW w:w="1701" w:type="dxa"/>
            <w:vMerge w:val="restart"/>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234"/>
        </w:trPr>
        <w:tc>
          <w:tcPr>
            <w:tcW w:w="675" w:type="dxa"/>
            <w:vMerge/>
          </w:tcPr>
          <w:p w:rsidR="0050714F" w:rsidRPr="000B53BB" w:rsidRDefault="0050714F" w:rsidP="000B53BB">
            <w:pPr>
              <w:pStyle w:val="ListParagraph"/>
              <w:ind w:left="0"/>
              <w:jc w:val="center"/>
              <w:rPr>
                <w:rFonts w:ascii="Calibri" w:hAnsi="Calibri" w:cs="Calibri"/>
                <w:b/>
                <w:bCs/>
                <w:sz w:val="20"/>
                <w:szCs w:val="20"/>
              </w:rPr>
            </w:pPr>
          </w:p>
        </w:tc>
        <w:tc>
          <w:tcPr>
            <w:tcW w:w="2127" w:type="dxa"/>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Orden de Compra</w:t>
            </w:r>
          </w:p>
          <w:p w:rsidR="0050714F" w:rsidRPr="000B53BB" w:rsidRDefault="0050714F" w:rsidP="000B53BB">
            <w:pPr>
              <w:pStyle w:val="ListParagraph"/>
              <w:ind w:left="0"/>
              <w:rPr>
                <w:rFonts w:ascii="Calibri" w:hAnsi="Calibri" w:cs="Calibri"/>
                <w:sz w:val="20"/>
                <w:szCs w:val="20"/>
              </w:rPr>
            </w:pPr>
          </w:p>
        </w:tc>
        <w:tc>
          <w:tcPr>
            <w:tcW w:w="1917" w:type="dxa"/>
            <w:vMerge/>
          </w:tcPr>
          <w:p w:rsidR="0050714F" w:rsidRPr="000B53BB" w:rsidRDefault="0050714F" w:rsidP="000B53BB">
            <w:pPr>
              <w:pStyle w:val="ListParagraph"/>
              <w:ind w:left="0"/>
              <w:jc w:val="center"/>
              <w:rPr>
                <w:rFonts w:ascii="Calibri" w:hAnsi="Calibri" w:cs="Calibri"/>
                <w:sz w:val="20"/>
                <w:szCs w:val="20"/>
              </w:rPr>
            </w:pPr>
          </w:p>
        </w:tc>
        <w:tc>
          <w:tcPr>
            <w:tcW w:w="1798" w:type="dxa"/>
            <w:vMerge w:val="restart"/>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Factura</w:t>
            </w:r>
          </w:p>
        </w:tc>
        <w:tc>
          <w:tcPr>
            <w:tcW w:w="1955" w:type="dxa"/>
            <w:vMerge/>
          </w:tcPr>
          <w:p w:rsidR="0050714F" w:rsidRPr="000B53BB" w:rsidRDefault="0050714F" w:rsidP="000B53BB">
            <w:pPr>
              <w:pStyle w:val="ListParagraph"/>
              <w:ind w:left="0"/>
              <w:rPr>
                <w:rFonts w:ascii="Calibri" w:hAnsi="Calibri" w:cs="Calibri"/>
                <w:sz w:val="20"/>
                <w:szCs w:val="20"/>
              </w:rPr>
            </w:pPr>
          </w:p>
        </w:tc>
        <w:tc>
          <w:tcPr>
            <w:tcW w:w="1701" w:type="dxa"/>
            <w:vMerge/>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2092"/>
        </w:trPr>
        <w:tc>
          <w:tcPr>
            <w:tcW w:w="675" w:type="dxa"/>
            <w:vMerge/>
            <w:tcBorders>
              <w:top w:val="single" w:sz="8" w:space="0" w:color="000000"/>
              <w:left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Factura</w:t>
            </w:r>
          </w:p>
          <w:p w:rsidR="0050714F" w:rsidRPr="000B53BB" w:rsidRDefault="0050714F" w:rsidP="000B53BB">
            <w:pPr>
              <w:pStyle w:val="ListParagraph"/>
              <w:ind w:left="0"/>
              <w:rPr>
                <w:rFonts w:ascii="Calibri" w:hAnsi="Calibri" w:cs="Calibri"/>
                <w:sz w:val="20"/>
                <w:szCs w:val="20"/>
              </w:rPr>
            </w:pPr>
          </w:p>
        </w:tc>
        <w:tc>
          <w:tcPr>
            <w:tcW w:w="1917" w:type="dxa"/>
            <w:vMerge/>
            <w:tcBorders>
              <w:top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955"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180"/>
        </w:trPr>
        <w:tc>
          <w:tcPr>
            <w:tcW w:w="675" w:type="dxa"/>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10</w:t>
            </w:r>
          </w:p>
        </w:tc>
        <w:tc>
          <w:tcPr>
            <w:tcW w:w="2127"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Factura</w:t>
            </w:r>
          </w:p>
        </w:tc>
        <w:tc>
          <w:tcPr>
            <w:tcW w:w="1917" w:type="dxa"/>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Cuentas por Pagar</w:t>
            </w:r>
          </w:p>
        </w:tc>
        <w:tc>
          <w:tcPr>
            <w:tcW w:w="1798" w:type="dxa"/>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w:t>
            </w:r>
          </w:p>
        </w:tc>
        <w:tc>
          <w:tcPr>
            <w:tcW w:w="1955"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realizar las cancelaciones de deudas y pagos a los proveedores en base a la factura que estos emiten.</w:t>
            </w:r>
          </w:p>
        </w:tc>
        <w:tc>
          <w:tcPr>
            <w:tcW w:w="1701" w:type="dxa"/>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Contabilidad</w:t>
            </w:r>
          </w:p>
        </w:tc>
      </w:tr>
      <w:tr w:rsidR="0050714F" w:rsidRPr="000B53BB" w:rsidTr="000B53BB">
        <w:trPr>
          <w:trHeight w:val="180"/>
        </w:trPr>
        <w:tc>
          <w:tcPr>
            <w:tcW w:w="675" w:type="dxa"/>
            <w:tcBorders>
              <w:top w:val="single" w:sz="8" w:space="0" w:color="000000"/>
              <w:left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11</w:t>
            </w:r>
          </w:p>
        </w:tc>
        <w:tc>
          <w:tcPr>
            <w:tcW w:w="2127" w:type="dxa"/>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Solicitud de pedido</w:t>
            </w:r>
          </w:p>
        </w:tc>
        <w:tc>
          <w:tcPr>
            <w:tcW w:w="1917" w:type="dxa"/>
            <w:tcBorders>
              <w:top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Consolidar Solicitudes de pedido</w:t>
            </w:r>
          </w:p>
        </w:tc>
        <w:tc>
          <w:tcPr>
            <w:tcW w:w="1798" w:type="dxa"/>
            <w:tcBorders>
              <w:top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Solicitudes de pedido</w:t>
            </w:r>
          </w:p>
        </w:tc>
        <w:tc>
          <w:tcPr>
            <w:tcW w:w="1955" w:type="dxa"/>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Se encarga de la distribución de solicitudes recibidas en dos escenarios diferentes:</w:t>
            </w:r>
          </w:p>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 xml:space="preserve">El primero,  está dado en el caso de que exista stock y el segundo, luego de realizado el proceso de compra (si no existe stock), de esta forma permitirá saber al proceso de abastecimiento de productos internos y finales qué y a quién abastecer.  Dicha distribución de solicitudes además permitirá el control de salidas del almacén. </w:t>
            </w:r>
          </w:p>
          <w:p w:rsidR="0050714F" w:rsidRPr="000B53BB" w:rsidRDefault="0050714F" w:rsidP="000B53BB">
            <w:pPr>
              <w:pStyle w:val="ListParagraph"/>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1653"/>
        </w:trPr>
        <w:tc>
          <w:tcPr>
            <w:tcW w:w="675" w:type="dxa"/>
            <w:vMerge w:val="restart"/>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12</w:t>
            </w:r>
          </w:p>
        </w:tc>
        <w:tc>
          <w:tcPr>
            <w:tcW w:w="2127"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Solicitudes de pedido</w:t>
            </w:r>
          </w:p>
        </w:tc>
        <w:tc>
          <w:tcPr>
            <w:tcW w:w="1917" w:type="dxa"/>
            <w:vMerge w:val="restart"/>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 xml:space="preserve">Abastecimiento de productos </w:t>
            </w:r>
          </w:p>
        </w:tc>
        <w:tc>
          <w:tcPr>
            <w:tcW w:w="1798"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Reporte de salidas</w:t>
            </w:r>
          </w:p>
        </w:tc>
        <w:tc>
          <w:tcPr>
            <w:tcW w:w="1955"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 xml:space="preserve">Se encarga de realizar el abastecimiento de los productos adquiridos de acuerdo a la solicitud de pedido por área. Este abastecimiento de productos se realiza en base a los ingresos al almacén, los cuales se ven reflejados en el reporte de entradas. </w:t>
            </w:r>
          </w:p>
          <w:p w:rsidR="0050714F" w:rsidRPr="000B53BB" w:rsidRDefault="0050714F" w:rsidP="000B53BB">
            <w:pPr>
              <w:pStyle w:val="ListParagraph"/>
              <w:ind w:left="0"/>
              <w:rPr>
                <w:rFonts w:ascii="Calibri" w:hAnsi="Calibri" w:cs="Calibri"/>
                <w:sz w:val="20"/>
                <w:szCs w:val="20"/>
              </w:rPr>
            </w:pPr>
          </w:p>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 xml:space="preserve">Además, elaborará el reporte de salidas  que permita llevar el adecuado control del inventariado. </w:t>
            </w:r>
          </w:p>
          <w:p w:rsidR="0050714F" w:rsidRPr="000B53BB" w:rsidRDefault="0050714F" w:rsidP="000B53BB">
            <w:pPr>
              <w:pStyle w:val="ListParagraph"/>
              <w:ind w:left="0"/>
              <w:rPr>
                <w:rFonts w:ascii="Calibri" w:hAnsi="Calibri" w:cs="Calibri"/>
                <w:sz w:val="20"/>
                <w:szCs w:val="20"/>
              </w:rPr>
            </w:pPr>
          </w:p>
          <w:p w:rsidR="0050714F" w:rsidRPr="000B53BB" w:rsidRDefault="0050714F" w:rsidP="000B53BB">
            <w:pPr>
              <w:pStyle w:val="ListParagraph"/>
              <w:ind w:left="0"/>
              <w:rPr>
                <w:rFonts w:ascii="Calibri" w:hAnsi="Calibri" w:cs="Calibri"/>
                <w:sz w:val="20"/>
                <w:szCs w:val="20"/>
              </w:rPr>
            </w:pP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1222"/>
        </w:trPr>
        <w:tc>
          <w:tcPr>
            <w:tcW w:w="675" w:type="dxa"/>
            <w:vMerge/>
            <w:tcBorders>
              <w:top w:val="single" w:sz="8" w:space="0" w:color="000000"/>
              <w:left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Reporte de entradas</w:t>
            </w:r>
          </w:p>
          <w:p w:rsidR="0050714F" w:rsidRPr="000B53BB" w:rsidRDefault="0050714F" w:rsidP="000B53BB">
            <w:pPr>
              <w:pStyle w:val="ListParagraph"/>
              <w:ind w:left="0"/>
              <w:rPr>
                <w:rFonts w:ascii="Calibri" w:hAnsi="Calibri" w:cs="Calibri"/>
                <w:sz w:val="20"/>
                <w:szCs w:val="20"/>
              </w:rPr>
            </w:pPr>
          </w:p>
        </w:tc>
        <w:tc>
          <w:tcPr>
            <w:tcW w:w="1917" w:type="dxa"/>
            <w:vMerge/>
            <w:tcBorders>
              <w:top w:val="single" w:sz="8" w:space="0" w:color="000000"/>
            </w:tcBorders>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top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955" w:type="dxa"/>
            <w:vMerge/>
            <w:tcBorders>
              <w:top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r w:rsidR="0050714F" w:rsidRPr="000B53BB" w:rsidTr="000B53BB">
        <w:trPr>
          <w:trHeight w:val="765"/>
        </w:trPr>
        <w:tc>
          <w:tcPr>
            <w:tcW w:w="675" w:type="dxa"/>
            <w:vMerge w:val="restart"/>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13</w:t>
            </w:r>
          </w:p>
        </w:tc>
        <w:tc>
          <w:tcPr>
            <w:tcW w:w="2127"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Reporte de entradas</w:t>
            </w:r>
          </w:p>
        </w:tc>
        <w:tc>
          <w:tcPr>
            <w:tcW w:w="1917" w:type="dxa"/>
            <w:vMerge w:val="restart"/>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Inventario de productos por almacén</w:t>
            </w:r>
          </w:p>
        </w:tc>
        <w:tc>
          <w:tcPr>
            <w:tcW w:w="1798"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55"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Realización de control de inventarios por productos según almacén y control de mermas, en base al reporte de entradas recibidas por el proceso de recepción de productos y el reporte de salidas recibo por el proceso de abastecimiento de productos.</w:t>
            </w:r>
          </w:p>
          <w:p w:rsidR="0050714F" w:rsidRPr="000B53BB" w:rsidRDefault="0050714F" w:rsidP="000B53BB">
            <w:pPr>
              <w:pStyle w:val="ListParagraph"/>
              <w:ind w:left="0"/>
              <w:rPr>
                <w:rFonts w:ascii="Calibri" w:hAnsi="Calibri" w:cs="Calibri"/>
                <w:sz w:val="20"/>
                <w:szCs w:val="20"/>
              </w:rPr>
            </w:pP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450"/>
        </w:trPr>
        <w:tc>
          <w:tcPr>
            <w:tcW w:w="675" w:type="dxa"/>
            <w:vMerge/>
            <w:tcBorders>
              <w:top w:val="single" w:sz="8" w:space="0" w:color="000000"/>
              <w:left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 xml:space="preserve">Reporte de salidas  </w:t>
            </w:r>
          </w:p>
        </w:tc>
        <w:tc>
          <w:tcPr>
            <w:tcW w:w="1917" w:type="dxa"/>
            <w:vMerge/>
            <w:tcBorders>
              <w:top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955"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rPr>
                <w:rFonts w:ascii="Calibri" w:hAnsi="Calibri" w:cs="Calibri"/>
                <w:sz w:val="20"/>
                <w:szCs w:val="20"/>
              </w:rPr>
            </w:pPr>
          </w:p>
        </w:tc>
      </w:tr>
      <w:tr w:rsidR="0050714F" w:rsidRPr="000B53BB" w:rsidTr="000B53BB">
        <w:trPr>
          <w:trHeight w:val="821"/>
        </w:trPr>
        <w:tc>
          <w:tcPr>
            <w:tcW w:w="675" w:type="dxa"/>
            <w:vMerge w:val="restart"/>
          </w:tcPr>
          <w:p w:rsidR="0050714F" w:rsidRPr="000B53BB" w:rsidRDefault="0050714F" w:rsidP="000B53BB">
            <w:pPr>
              <w:pStyle w:val="ListParagraph"/>
              <w:ind w:left="0"/>
              <w:jc w:val="center"/>
              <w:rPr>
                <w:rFonts w:ascii="Calibri" w:hAnsi="Calibri" w:cs="Calibri"/>
                <w:b/>
                <w:bCs/>
                <w:sz w:val="20"/>
                <w:szCs w:val="20"/>
              </w:rPr>
            </w:pPr>
            <w:r w:rsidRPr="000B53BB">
              <w:rPr>
                <w:rFonts w:ascii="Calibri" w:hAnsi="Calibri" w:cs="Calibri"/>
                <w:b/>
                <w:bCs/>
                <w:sz w:val="20"/>
                <w:szCs w:val="20"/>
              </w:rPr>
              <w:t>14</w:t>
            </w:r>
          </w:p>
        </w:tc>
        <w:tc>
          <w:tcPr>
            <w:tcW w:w="2127" w:type="dxa"/>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17" w:type="dxa"/>
            <w:vMerge w:val="restart"/>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Fin</w:t>
            </w:r>
          </w:p>
        </w:tc>
        <w:tc>
          <w:tcPr>
            <w:tcW w:w="1798"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w:t>
            </w:r>
          </w:p>
        </w:tc>
        <w:tc>
          <w:tcPr>
            <w:tcW w:w="1955" w:type="dxa"/>
            <w:vMerge w:val="restart"/>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El macro proceso de logística termina en la realización de inventarios y/o contratos realizados.</w:t>
            </w:r>
          </w:p>
          <w:p w:rsidR="0050714F" w:rsidRPr="000B53BB" w:rsidRDefault="0050714F" w:rsidP="000B53BB">
            <w:pPr>
              <w:pStyle w:val="ListParagraph"/>
              <w:ind w:left="0"/>
              <w:rPr>
                <w:rFonts w:ascii="Calibri" w:hAnsi="Calibri" w:cs="Calibri"/>
                <w:sz w:val="20"/>
                <w:szCs w:val="20"/>
              </w:rPr>
            </w:pPr>
          </w:p>
        </w:tc>
        <w:tc>
          <w:tcPr>
            <w:tcW w:w="1701" w:type="dxa"/>
            <w:vMerge w:val="restart"/>
            <w:vAlign w:val="center"/>
          </w:tcPr>
          <w:p w:rsidR="0050714F" w:rsidRPr="000B53BB" w:rsidRDefault="0050714F" w:rsidP="000B53BB">
            <w:pPr>
              <w:pStyle w:val="ListParagraph"/>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820"/>
        </w:trPr>
        <w:tc>
          <w:tcPr>
            <w:tcW w:w="675" w:type="dxa"/>
            <w:vMerge/>
            <w:tcBorders>
              <w:top w:val="single" w:sz="8" w:space="0" w:color="000000"/>
              <w:left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r w:rsidRPr="000B53BB">
              <w:rPr>
                <w:rFonts w:ascii="Calibri" w:hAnsi="Calibri" w:cs="Calibri"/>
                <w:sz w:val="20"/>
                <w:szCs w:val="20"/>
              </w:rPr>
              <w:t>Portafolio de contratos realizados</w:t>
            </w:r>
          </w:p>
        </w:tc>
        <w:tc>
          <w:tcPr>
            <w:tcW w:w="1917" w:type="dxa"/>
            <w:vMerge/>
            <w:tcBorders>
              <w:top w:val="single" w:sz="8" w:space="0" w:color="000000"/>
              <w:bottom w:val="single" w:sz="8" w:space="0" w:color="000000"/>
            </w:tcBorders>
          </w:tcPr>
          <w:p w:rsidR="0050714F" w:rsidRPr="000B53BB" w:rsidRDefault="0050714F" w:rsidP="000B53BB">
            <w:pPr>
              <w:pStyle w:val="ListParagraph"/>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955" w:type="dxa"/>
            <w:vMerge/>
            <w:tcBorders>
              <w:top w:val="single" w:sz="8" w:space="0" w:color="000000"/>
              <w:bottom w:val="single" w:sz="8" w:space="0" w:color="000000"/>
            </w:tcBorders>
          </w:tcPr>
          <w:p w:rsidR="0050714F" w:rsidRPr="000B53BB" w:rsidRDefault="0050714F" w:rsidP="000B53BB">
            <w:pPr>
              <w:pStyle w:val="ListParagraph"/>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ListParagraph"/>
              <w:ind w:left="0"/>
              <w:jc w:val="center"/>
              <w:rPr>
                <w:rFonts w:ascii="Calibri" w:hAnsi="Calibri" w:cs="Calibri"/>
                <w:sz w:val="20"/>
                <w:szCs w:val="20"/>
              </w:rPr>
            </w:pPr>
          </w:p>
        </w:tc>
      </w:tr>
    </w:tbl>
    <w:p w:rsidR="0050714F" w:rsidRPr="00BE71AF" w:rsidRDefault="0050714F" w:rsidP="002A48D4">
      <w:pPr>
        <w:spacing w:line="360" w:lineRule="auto"/>
        <w:jc w:val="both"/>
        <w:outlineLvl w:val="0"/>
        <w:rPr>
          <w:rFonts w:ascii="Arial" w:hAnsi="Arial" w:cs="Arial"/>
          <w:b/>
          <w:lang w:val="es-PE"/>
        </w:rPr>
      </w:pPr>
    </w:p>
    <w:p w:rsidR="0050714F" w:rsidRDefault="0050714F" w:rsidP="005B2A6C">
      <w:pPr>
        <w:pStyle w:val="Heading2"/>
        <w:spacing w:line="360" w:lineRule="auto"/>
        <w:rPr>
          <w:rFonts w:ascii="Calibri" w:hAnsi="Calibri" w:cs="Calibri"/>
          <w:lang w:val="es-PE"/>
        </w:rPr>
      </w:pPr>
      <w:bookmarkStart w:id="13" w:name="_Toc292018121"/>
      <w:r w:rsidRPr="00FD0DF7">
        <w:rPr>
          <w:rFonts w:ascii="Calibri" w:hAnsi="Calibri" w:cs="Calibri"/>
          <w:lang w:val="es-PE"/>
        </w:rPr>
        <w:t>1.</w:t>
      </w:r>
      <w:r>
        <w:rPr>
          <w:rFonts w:ascii="Calibri" w:hAnsi="Calibri" w:cs="Calibri"/>
          <w:lang w:val="es-PE"/>
        </w:rPr>
        <w:t>8</w:t>
      </w:r>
      <w:r w:rsidRPr="00FD0DF7">
        <w:rPr>
          <w:rFonts w:ascii="Calibri" w:hAnsi="Calibri" w:cs="Calibri"/>
          <w:lang w:val="es-PE"/>
        </w:rPr>
        <w:tab/>
      </w:r>
      <w:r>
        <w:rPr>
          <w:rFonts w:ascii="Calibri" w:hAnsi="Calibri" w:cs="Calibri"/>
          <w:lang w:val="es-PE"/>
        </w:rPr>
        <w:t>Diagrama del Proceso</w:t>
      </w:r>
      <w:bookmarkEnd w:id="13"/>
    </w:p>
    <w:p w:rsidR="0050714F" w:rsidRDefault="0050714F" w:rsidP="005B2A6C">
      <w:pPr>
        <w:spacing w:after="0" w:line="360" w:lineRule="auto"/>
        <w:jc w:val="center"/>
        <w:outlineLvl w:val="0"/>
        <w:rPr>
          <w:rFonts w:ascii="Arial" w:hAnsi="Arial" w:cs="Arial"/>
          <w:b/>
        </w:rPr>
      </w:pPr>
      <w:r w:rsidRPr="001C3CDC">
        <w:rPr>
          <w:rFonts w:ascii="Arial" w:hAnsi="Arial" w:cs="Arial"/>
          <w:b/>
          <w:noProof/>
          <w:lang w:val="es-PE" w:eastAsia="es-PE"/>
        </w:rPr>
        <w:pict>
          <v:shape id="_x0000_i1029" type="#_x0000_t75" style="width:507.75pt;height:343.5pt">
            <v:imagedata r:id="rId9" o:title=""/>
          </v:shape>
        </w:pict>
      </w:r>
    </w:p>
    <w:p w:rsidR="0050714F" w:rsidRPr="005F70DC" w:rsidRDefault="0050714F" w:rsidP="006A5EAF">
      <w:pPr>
        <w:spacing w:after="0" w:line="240" w:lineRule="auto"/>
        <w:ind w:left="720"/>
        <w:outlineLvl w:val="0"/>
        <w:rPr>
          <w:rFonts w:cs="Calibri"/>
          <w:b/>
          <w:sz w:val="18"/>
          <w:szCs w:val="18"/>
          <w:lang w:val="es-PE"/>
        </w:rPr>
      </w:pPr>
      <w:bookmarkStart w:id="14" w:name="_Toc292017225"/>
      <w:bookmarkStart w:id="15" w:name="_Toc292018124"/>
      <w:r>
        <w:rPr>
          <w:rFonts w:cs="Calibri"/>
          <w:b/>
          <w:sz w:val="18"/>
          <w:szCs w:val="18"/>
          <w:lang w:val="es-PE"/>
        </w:rPr>
        <w:t xml:space="preserve">                                                                                           </w:t>
      </w:r>
      <w:r w:rsidRPr="005F70DC">
        <w:rPr>
          <w:rFonts w:cs="Calibri"/>
          <w:b/>
          <w:sz w:val="18"/>
          <w:szCs w:val="18"/>
          <w:lang w:val="es-PE"/>
        </w:rPr>
        <w:t>Elaboración:</w:t>
      </w:r>
      <w:bookmarkEnd w:id="14"/>
      <w:bookmarkEnd w:id="15"/>
      <w:r w:rsidRPr="005F70DC">
        <w:rPr>
          <w:rFonts w:cs="Calibri"/>
          <w:b/>
          <w:sz w:val="18"/>
          <w:szCs w:val="18"/>
          <w:lang w:val="es-PE"/>
        </w:rPr>
        <w:t xml:space="preserve"> Propia</w:t>
      </w:r>
    </w:p>
    <w:p w:rsidR="0050714F" w:rsidRDefault="0050714F" w:rsidP="00AB5259">
      <w:pPr>
        <w:pStyle w:val="Heading1"/>
        <w:rPr>
          <w:rFonts w:ascii="Calibri" w:hAnsi="Calibri" w:cs="Calibri"/>
          <w:color w:val="002060"/>
          <w:lang w:val="es-PE"/>
        </w:rPr>
      </w:pPr>
      <w:bookmarkStart w:id="16" w:name="_Toc292018125"/>
    </w:p>
    <w:p w:rsidR="0050714F" w:rsidRDefault="0050714F" w:rsidP="00AB5259">
      <w:pPr>
        <w:pStyle w:val="Heading1"/>
        <w:rPr>
          <w:rFonts w:ascii="Calibri" w:hAnsi="Calibri" w:cs="Calibri"/>
          <w:color w:val="002060"/>
          <w:lang w:val="es-PE"/>
        </w:rPr>
      </w:pPr>
    </w:p>
    <w:p w:rsidR="0050714F" w:rsidRDefault="0050714F" w:rsidP="002C4DEC">
      <w:pPr>
        <w:rPr>
          <w:lang w:val="es-PE"/>
        </w:rPr>
      </w:pPr>
    </w:p>
    <w:p w:rsidR="0050714F" w:rsidRDefault="0050714F" w:rsidP="002C4DEC">
      <w:pPr>
        <w:rPr>
          <w:lang w:val="es-PE"/>
        </w:rPr>
      </w:pPr>
    </w:p>
    <w:p w:rsidR="0050714F" w:rsidRPr="002C4DEC" w:rsidRDefault="0050714F" w:rsidP="002C4DEC">
      <w:pPr>
        <w:rPr>
          <w:lang w:val="es-PE"/>
        </w:rPr>
      </w:pPr>
    </w:p>
    <w:p w:rsidR="0050714F" w:rsidRDefault="0050714F" w:rsidP="002C69CA">
      <w:pPr>
        <w:rPr>
          <w:lang w:val="es-PE"/>
        </w:rPr>
      </w:pPr>
    </w:p>
    <w:p w:rsidR="0050714F" w:rsidRDefault="0050714F" w:rsidP="002C69CA">
      <w:pPr>
        <w:rPr>
          <w:lang w:val="es-PE"/>
        </w:rPr>
      </w:pPr>
    </w:p>
    <w:p w:rsidR="0050714F" w:rsidRDefault="0050714F" w:rsidP="002C69CA">
      <w:pPr>
        <w:rPr>
          <w:lang w:val="es-PE"/>
        </w:rPr>
      </w:pPr>
    </w:p>
    <w:p w:rsidR="0050714F" w:rsidRPr="002C69CA" w:rsidRDefault="0050714F" w:rsidP="002C69CA">
      <w:pPr>
        <w:rPr>
          <w:lang w:val="es-PE"/>
        </w:rPr>
      </w:pPr>
    </w:p>
    <w:p w:rsidR="0050714F" w:rsidRPr="005F70DC" w:rsidRDefault="0050714F" w:rsidP="00AB5259">
      <w:pPr>
        <w:pStyle w:val="Heading1"/>
        <w:rPr>
          <w:rFonts w:ascii="Calibri" w:hAnsi="Calibri" w:cs="Calibri"/>
          <w:color w:val="002060"/>
          <w:lang w:val="es-PE"/>
        </w:rPr>
      </w:pPr>
      <w:r w:rsidRPr="005F70DC">
        <w:rPr>
          <w:rFonts w:ascii="Calibri" w:hAnsi="Calibri" w:cs="Calibri"/>
          <w:color w:val="002060"/>
          <w:lang w:val="es-PE"/>
        </w:rPr>
        <w:t xml:space="preserve">Sección 2. </w:t>
      </w:r>
      <w:r w:rsidRPr="005F70DC">
        <w:rPr>
          <w:rFonts w:ascii="Calibri" w:hAnsi="Calibri" w:cs="Calibri"/>
          <w:color w:val="002060"/>
          <w:lang w:val="es-PE"/>
        </w:rPr>
        <w:tab/>
        <w:t>Historial de Revisión</w:t>
      </w:r>
      <w:bookmarkEnd w:id="16"/>
    </w:p>
    <w:p w:rsidR="0050714F" w:rsidRPr="005F70DC" w:rsidRDefault="0050714F" w:rsidP="00AB5259">
      <w:pPr>
        <w:rPr>
          <w:rFonts w:cs="Calibr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50714F" w:rsidRPr="000B53BB" w:rsidTr="003B0F18">
        <w:trPr>
          <w:cantSplit/>
          <w:trHeight w:val="245"/>
          <w:tblHeader/>
        </w:trPr>
        <w:tc>
          <w:tcPr>
            <w:tcW w:w="900" w:type="dxa"/>
            <w:shd w:val="clear" w:color="auto" w:fill="002060"/>
            <w:vAlign w:val="center"/>
          </w:tcPr>
          <w:p w:rsidR="0050714F" w:rsidRPr="003B0F18" w:rsidRDefault="0050714F" w:rsidP="00154A05">
            <w:pPr>
              <w:pStyle w:val="TableText"/>
              <w:rPr>
                <w:rFonts w:ascii="Calibri" w:hAnsi="Calibri" w:cs="Calibri"/>
                <w:color w:val="FFFFFF"/>
              </w:rPr>
            </w:pPr>
            <w:r w:rsidRPr="003B0F18">
              <w:rPr>
                <w:rFonts w:ascii="Calibri" w:hAnsi="Calibri" w:cs="Calibri"/>
                <w:b/>
                <w:bCs/>
                <w:color w:val="FFFFFF"/>
                <w:sz w:val="16"/>
              </w:rPr>
              <w:t>Versión</w:t>
            </w:r>
          </w:p>
        </w:tc>
        <w:tc>
          <w:tcPr>
            <w:tcW w:w="2340" w:type="dxa"/>
            <w:shd w:val="clear" w:color="auto" w:fill="002060"/>
            <w:vAlign w:val="center"/>
          </w:tcPr>
          <w:p w:rsidR="0050714F" w:rsidRPr="003B0F18" w:rsidRDefault="0050714F" w:rsidP="002A48D4">
            <w:pPr>
              <w:pStyle w:val="TableText"/>
              <w:rPr>
                <w:rFonts w:ascii="Calibri" w:hAnsi="Calibri" w:cs="Calibri"/>
                <w:b/>
                <w:bCs/>
                <w:color w:val="FFFFFF"/>
                <w:sz w:val="16"/>
              </w:rPr>
            </w:pPr>
            <w:r w:rsidRPr="003B0F18">
              <w:rPr>
                <w:rFonts w:ascii="Calibri" w:hAnsi="Calibri" w:cs="Calibri"/>
                <w:b/>
                <w:bCs/>
                <w:color w:val="FFFFFF"/>
                <w:sz w:val="16"/>
              </w:rPr>
              <w:t>N</w:t>
            </w:r>
            <w:r>
              <w:rPr>
                <w:rFonts w:ascii="Calibri" w:hAnsi="Calibri" w:cs="Calibri"/>
                <w:b/>
                <w:bCs/>
                <w:color w:val="FFFFFF"/>
                <w:sz w:val="16"/>
              </w:rPr>
              <w:t>ombre</w:t>
            </w:r>
          </w:p>
        </w:tc>
        <w:tc>
          <w:tcPr>
            <w:tcW w:w="4140" w:type="dxa"/>
            <w:shd w:val="clear" w:color="auto" w:fill="002060"/>
            <w:vAlign w:val="center"/>
          </w:tcPr>
          <w:p w:rsidR="0050714F" w:rsidRPr="003B0F18" w:rsidRDefault="0050714F" w:rsidP="002A48D4">
            <w:pPr>
              <w:pStyle w:val="TableText"/>
              <w:rPr>
                <w:rFonts w:ascii="Calibri" w:hAnsi="Calibri" w:cs="Calibri"/>
                <w:b/>
                <w:bCs/>
                <w:color w:val="FFFFFF"/>
                <w:sz w:val="16"/>
              </w:rPr>
            </w:pPr>
            <w:r w:rsidRPr="003B0F18">
              <w:rPr>
                <w:rFonts w:ascii="Calibri" w:hAnsi="Calibri" w:cs="Calibri"/>
                <w:b/>
                <w:bCs/>
                <w:color w:val="FFFFFF"/>
                <w:sz w:val="16"/>
              </w:rPr>
              <w:t>Descrip</w:t>
            </w:r>
            <w:r>
              <w:rPr>
                <w:rFonts w:ascii="Calibri" w:hAnsi="Calibri" w:cs="Calibri"/>
                <w:b/>
                <w:bCs/>
                <w:color w:val="FFFFFF"/>
                <w:sz w:val="16"/>
              </w:rPr>
              <w:t>ción</w:t>
            </w:r>
          </w:p>
        </w:tc>
        <w:tc>
          <w:tcPr>
            <w:tcW w:w="1260" w:type="dxa"/>
            <w:shd w:val="clear" w:color="auto" w:fill="002060"/>
            <w:vAlign w:val="center"/>
          </w:tcPr>
          <w:p w:rsidR="0050714F" w:rsidRPr="003B0F18" w:rsidRDefault="0050714F" w:rsidP="00154A05">
            <w:pPr>
              <w:pStyle w:val="TableText"/>
              <w:rPr>
                <w:rFonts w:ascii="Calibri" w:hAnsi="Calibri" w:cs="Calibri"/>
                <w:b/>
                <w:bCs/>
                <w:color w:val="FFFFFF"/>
                <w:sz w:val="16"/>
              </w:rPr>
            </w:pPr>
            <w:r w:rsidRPr="003B0F18">
              <w:rPr>
                <w:rFonts w:ascii="Calibri" w:hAnsi="Calibri" w:cs="Calibri"/>
                <w:b/>
                <w:bCs/>
                <w:color w:val="FFFFFF"/>
                <w:sz w:val="16"/>
              </w:rPr>
              <w:t>Fecha</w:t>
            </w:r>
          </w:p>
        </w:tc>
      </w:tr>
      <w:tr w:rsidR="0050714F" w:rsidRPr="000B53BB" w:rsidTr="00154A05">
        <w:trPr>
          <w:cantSplit/>
          <w:trHeight w:val="229"/>
        </w:trPr>
        <w:tc>
          <w:tcPr>
            <w:tcW w:w="900" w:type="dxa"/>
            <w:vAlign w:val="center"/>
          </w:tcPr>
          <w:p w:rsidR="0050714F" w:rsidRPr="00FD0DF7" w:rsidRDefault="0050714F" w:rsidP="00154A05">
            <w:pPr>
              <w:pStyle w:val="TableText"/>
              <w:rPr>
                <w:rFonts w:ascii="Calibri" w:hAnsi="Calibri" w:cs="Calibri"/>
              </w:rPr>
            </w:pPr>
            <w:r>
              <w:rPr>
                <w:rFonts w:ascii="Calibri" w:hAnsi="Calibri" w:cs="Calibri"/>
              </w:rPr>
              <w:t>1.0</w:t>
            </w:r>
          </w:p>
        </w:tc>
        <w:tc>
          <w:tcPr>
            <w:tcW w:w="2340" w:type="dxa"/>
            <w:vAlign w:val="center"/>
          </w:tcPr>
          <w:p w:rsidR="0050714F" w:rsidRPr="00FD0DF7" w:rsidRDefault="0050714F" w:rsidP="00154A05">
            <w:pPr>
              <w:pStyle w:val="TableText"/>
              <w:rPr>
                <w:rFonts w:ascii="Calibri" w:hAnsi="Calibri" w:cs="Calibri"/>
              </w:rPr>
            </w:pPr>
            <w:r>
              <w:rPr>
                <w:rFonts w:ascii="Calibri" w:hAnsi="Calibri" w:cs="Calibri"/>
              </w:rPr>
              <w:t>Creación del documento</w:t>
            </w:r>
          </w:p>
        </w:tc>
        <w:tc>
          <w:tcPr>
            <w:tcW w:w="414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Definición de procesos de primer nivel del macro proceso de Logística</w:t>
            </w:r>
          </w:p>
        </w:tc>
        <w:tc>
          <w:tcPr>
            <w:tcW w:w="126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30/04/11</w:t>
            </w:r>
          </w:p>
        </w:tc>
      </w:tr>
      <w:tr w:rsidR="0050714F" w:rsidRPr="000B53BB" w:rsidTr="00154A05">
        <w:trPr>
          <w:cantSplit/>
          <w:trHeight w:val="229"/>
        </w:trPr>
        <w:tc>
          <w:tcPr>
            <w:tcW w:w="900" w:type="dxa"/>
            <w:vAlign w:val="center"/>
          </w:tcPr>
          <w:p w:rsidR="0050714F" w:rsidRDefault="0050714F" w:rsidP="00154A05">
            <w:pPr>
              <w:pStyle w:val="TableText"/>
              <w:rPr>
                <w:rFonts w:ascii="Calibri" w:hAnsi="Calibri" w:cs="Calibri"/>
              </w:rPr>
            </w:pPr>
            <w:r>
              <w:rPr>
                <w:rFonts w:ascii="Calibri" w:hAnsi="Calibri" w:cs="Calibri"/>
              </w:rPr>
              <w:t>1.1</w:t>
            </w:r>
          </w:p>
        </w:tc>
        <w:tc>
          <w:tcPr>
            <w:tcW w:w="2340" w:type="dxa"/>
            <w:vAlign w:val="center"/>
          </w:tcPr>
          <w:p w:rsidR="0050714F" w:rsidRDefault="0050714F" w:rsidP="00154A05">
            <w:pPr>
              <w:pStyle w:val="TableText"/>
              <w:rPr>
                <w:rFonts w:ascii="Calibri" w:hAnsi="Calibri" w:cs="Calibri"/>
              </w:rPr>
            </w:pPr>
            <w:r>
              <w:rPr>
                <w:rFonts w:ascii="Calibri" w:hAnsi="Calibri" w:cs="Calibri"/>
              </w:rPr>
              <w:t>Actualización del documento</w:t>
            </w:r>
          </w:p>
        </w:tc>
        <w:tc>
          <w:tcPr>
            <w:tcW w:w="4140" w:type="dxa"/>
            <w:vAlign w:val="center"/>
          </w:tcPr>
          <w:p w:rsidR="0050714F" w:rsidRDefault="0050714F" w:rsidP="00154A05">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154A05">
            <w:pPr>
              <w:pStyle w:val="TableText"/>
              <w:rPr>
                <w:rFonts w:ascii="Calibri" w:hAnsi="Calibri" w:cs="Calibri"/>
                <w:lang w:val="es-PE"/>
              </w:rPr>
            </w:pPr>
            <w:r>
              <w:rPr>
                <w:rFonts w:ascii="Calibri" w:hAnsi="Calibri" w:cs="Calibri"/>
                <w:lang w:val="es-PE"/>
              </w:rPr>
              <w:t>11/05/11</w:t>
            </w:r>
          </w:p>
        </w:tc>
      </w:tr>
      <w:tr w:rsidR="0050714F" w:rsidRPr="000B53BB" w:rsidTr="00154A05">
        <w:trPr>
          <w:cantSplit/>
          <w:trHeight w:val="229"/>
        </w:trPr>
        <w:tc>
          <w:tcPr>
            <w:tcW w:w="900" w:type="dxa"/>
            <w:vAlign w:val="center"/>
          </w:tcPr>
          <w:p w:rsidR="0050714F" w:rsidRDefault="0050714F" w:rsidP="002123D2">
            <w:pPr>
              <w:pStyle w:val="TableText"/>
              <w:rPr>
                <w:rFonts w:ascii="Calibri" w:hAnsi="Calibri" w:cs="Calibri"/>
              </w:rPr>
            </w:pPr>
            <w:r>
              <w:rPr>
                <w:rFonts w:ascii="Calibri" w:hAnsi="Calibri" w:cs="Calibri"/>
              </w:rPr>
              <w:t>1.2</w:t>
            </w:r>
          </w:p>
        </w:tc>
        <w:tc>
          <w:tcPr>
            <w:tcW w:w="2340" w:type="dxa"/>
            <w:vAlign w:val="center"/>
          </w:tcPr>
          <w:p w:rsidR="0050714F" w:rsidRDefault="0050714F" w:rsidP="002123D2">
            <w:pPr>
              <w:pStyle w:val="TableText"/>
              <w:rPr>
                <w:rFonts w:ascii="Calibri" w:hAnsi="Calibri" w:cs="Calibri"/>
              </w:rPr>
            </w:pPr>
            <w:r>
              <w:rPr>
                <w:rFonts w:ascii="Calibri" w:hAnsi="Calibri" w:cs="Calibri"/>
              </w:rPr>
              <w:t>Actualización del documento</w:t>
            </w:r>
          </w:p>
        </w:tc>
        <w:tc>
          <w:tcPr>
            <w:tcW w:w="4140" w:type="dxa"/>
            <w:vAlign w:val="center"/>
          </w:tcPr>
          <w:p w:rsidR="0050714F" w:rsidRDefault="0050714F" w:rsidP="002123D2">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2123D2">
            <w:pPr>
              <w:pStyle w:val="TableText"/>
              <w:rPr>
                <w:rFonts w:ascii="Calibri" w:hAnsi="Calibri" w:cs="Calibri"/>
                <w:lang w:val="es-PE"/>
              </w:rPr>
            </w:pPr>
            <w:r>
              <w:rPr>
                <w:rFonts w:ascii="Calibri" w:hAnsi="Calibri" w:cs="Calibri"/>
                <w:lang w:val="es-PE"/>
              </w:rPr>
              <w:t>18/05/11</w:t>
            </w:r>
          </w:p>
        </w:tc>
      </w:tr>
      <w:bookmarkEnd w:id="8"/>
    </w:tbl>
    <w:p w:rsidR="0050714F" w:rsidRPr="006F0EAF" w:rsidRDefault="0050714F" w:rsidP="005B2A6C">
      <w:pPr>
        <w:pStyle w:val="Heading1"/>
        <w:rPr>
          <w:lang w:val="es-ES"/>
        </w:rPr>
      </w:pPr>
    </w:p>
    <w:sectPr w:rsidR="0050714F" w:rsidRPr="006F0EAF" w:rsidSect="00AE7BD7">
      <w:headerReference w:type="default" r:id="rId10"/>
      <w:footerReference w:type="default" r:id="rId11"/>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14F" w:rsidRDefault="0050714F" w:rsidP="00AE7BD7">
      <w:pPr>
        <w:spacing w:after="0" w:line="240" w:lineRule="auto"/>
      </w:pPr>
      <w:r>
        <w:separator/>
      </w:r>
    </w:p>
  </w:endnote>
  <w:endnote w:type="continuationSeparator" w:id="0">
    <w:p w:rsidR="0050714F" w:rsidRDefault="0050714F"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0A0"/>
    </w:tblPr>
    <w:tblGrid>
      <w:gridCol w:w="972"/>
      <w:gridCol w:w="1021"/>
    </w:tblGrid>
    <w:tr w:rsidR="0050714F" w:rsidRPr="000B53BB">
      <w:trPr>
        <w:jc w:val="right"/>
      </w:trPr>
      <w:tc>
        <w:tcPr>
          <w:tcW w:w="0" w:type="auto"/>
        </w:tcPr>
        <w:p w:rsidR="0050714F" w:rsidRPr="000B53BB" w:rsidRDefault="0050714F">
          <w:pPr>
            <w:pStyle w:val="Footer"/>
            <w:jc w:val="right"/>
          </w:pPr>
          <w:r w:rsidRPr="000B53BB">
            <w:t xml:space="preserve">Página </w:t>
          </w:r>
          <w:fldSimple w:instr=" PAGE   \* MERGEFORMAT ">
            <w:r>
              <w:rPr>
                <w:noProof/>
              </w:rPr>
              <w:t>2</w:t>
            </w:r>
          </w:fldSimple>
        </w:p>
      </w:tc>
      <w:tc>
        <w:tcPr>
          <w:tcW w:w="0" w:type="auto"/>
        </w:tcPr>
        <w:p w:rsidR="0050714F" w:rsidRPr="000B53BB" w:rsidRDefault="0050714F">
          <w:pPr>
            <w:pStyle w:val="Footer"/>
            <w:jc w:val="right"/>
          </w:pPr>
          <w:r>
            <w:rPr>
              <w:noProof/>
              <w:lang w:val="es-PE" w:eastAsia="es-PE"/>
            </w:rPr>
          </w:r>
          <w:r w:rsidRPr="000B53BB">
            <w:rPr>
              <w:noProof/>
              <w:lang w:val="es-PE" w:eastAsia="es-PE"/>
            </w:rPr>
            <w:pict>
              <v:group id="Group 1" o:spid="_x0000_s2050"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strokecolor="white" strokeweight="1pt">
                  <v:shadow color="#d8d8d8" offset="3pt,3pt"/>
                </v:rect>
                <v:rect id="Rectangle 3" o:spid="_x0000_s205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strokecolor="white" strokeweight="1pt">
                  <v:shadow color="#d8d8d8" offset="3pt,3pt"/>
                </v:rect>
                <v:rect id="Rectangle 4" o:spid="_x0000_s205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strokecolor="white" strokeweight="1pt">
                  <v:shadow color="#d8d8d8" offset="3pt,3pt"/>
                </v:rect>
                <w10:anchorlock/>
              </v:group>
            </w:pict>
          </w:r>
        </w:p>
      </w:tc>
    </w:tr>
  </w:tbl>
  <w:p w:rsidR="0050714F" w:rsidRDefault="0050714F" w:rsidP="00AE7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14F" w:rsidRDefault="0050714F" w:rsidP="00AE7BD7">
      <w:pPr>
        <w:spacing w:after="0" w:line="240" w:lineRule="auto"/>
      </w:pPr>
      <w:r>
        <w:separator/>
      </w:r>
    </w:p>
  </w:footnote>
  <w:footnote w:type="continuationSeparator" w:id="0">
    <w:p w:rsidR="0050714F" w:rsidRDefault="0050714F"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14F" w:rsidRPr="00A2466F" w:rsidRDefault="0050714F" w:rsidP="00AE7BD7">
    <w:pPr>
      <w:pStyle w:val="Header"/>
      <w:jc w:val="right"/>
      <w:rPr>
        <w:lang w:val="es-PE"/>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2049" type="#_x0000_t75" alt="Logo BankMin.jpg" style="position:absolute;left:0;text-align:left;margin-left:-36.75pt;margin-top:-1.5pt;width:88.5pt;height:24.75pt;z-index:251660288;visibility:visible">
          <v:imagedata r:id="rId1" o:title=""/>
          <w10:wrap type="square"/>
        </v:shape>
      </w:pict>
    </w:r>
    <w:r>
      <w:rPr>
        <w:noProof/>
        <w:lang w:val="es-PE" w:eastAsia="es-PE"/>
      </w:rPr>
      <w:t>Análisis y Diseño de la Arquitectura de Procesos para la Pequeña Minería – Proceso de Logística</w:t>
    </w:r>
  </w:p>
  <w:p w:rsidR="0050714F" w:rsidRPr="00A2466F" w:rsidRDefault="0050714F">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09F8"/>
    <w:rsid w:val="000025C2"/>
    <w:rsid w:val="000316FA"/>
    <w:rsid w:val="00047743"/>
    <w:rsid w:val="00053E0E"/>
    <w:rsid w:val="00055170"/>
    <w:rsid w:val="00055714"/>
    <w:rsid w:val="00056DC2"/>
    <w:rsid w:val="00065481"/>
    <w:rsid w:val="000875F3"/>
    <w:rsid w:val="00096A47"/>
    <w:rsid w:val="000A574B"/>
    <w:rsid w:val="000B134C"/>
    <w:rsid w:val="000B4A09"/>
    <w:rsid w:val="000B53BB"/>
    <w:rsid w:val="000D54F9"/>
    <w:rsid w:val="000E3D0B"/>
    <w:rsid w:val="000E4366"/>
    <w:rsid w:val="000E50B2"/>
    <w:rsid w:val="001058A4"/>
    <w:rsid w:val="00114AC8"/>
    <w:rsid w:val="00133F0D"/>
    <w:rsid w:val="00136A37"/>
    <w:rsid w:val="00151D31"/>
    <w:rsid w:val="00154A05"/>
    <w:rsid w:val="001605FC"/>
    <w:rsid w:val="0017312A"/>
    <w:rsid w:val="00186926"/>
    <w:rsid w:val="001879C7"/>
    <w:rsid w:val="001A54CA"/>
    <w:rsid w:val="001A6336"/>
    <w:rsid w:val="001B0F40"/>
    <w:rsid w:val="001B1FBE"/>
    <w:rsid w:val="001C3CDC"/>
    <w:rsid w:val="001E2567"/>
    <w:rsid w:val="002123D2"/>
    <w:rsid w:val="0022190A"/>
    <w:rsid w:val="00240984"/>
    <w:rsid w:val="00265607"/>
    <w:rsid w:val="00267634"/>
    <w:rsid w:val="00274535"/>
    <w:rsid w:val="00286E5E"/>
    <w:rsid w:val="002A1812"/>
    <w:rsid w:val="002A48D4"/>
    <w:rsid w:val="002C4DEC"/>
    <w:rsid w:val="002C4EE5"/>
    <w:rsid w:val="002C69CA"/>
    <w:rsid w:val="002D2332"/>
    <w:rsid w:val="002D60F7"/>
    <w:rsid w:val="002E6BFC"/>
    <w:rsid w:val="002F7248"/>
    <w:rsid w:val="003013D8"/>
    <w:rsid w:val="00325F3B"/>
    <w:rsid w:val="003376DE"/>
    <w:rsid w:val="00340F9C"/>
    <w:rsid w:val="00341517"/>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0714F"/>
    <w:rsid w:val="00521B4A"/>
    <w:rsid w:val="005344D9"/>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6549F"/>
    <w:rsid w:val="00874DF4"/>
    <w:rsid w:val="008A4A63"/>
    <w:rsid w:val="008A7863"/>
    <w:rsid w:val="008B5293"/>
    <w:rsid w:val="008C7484"/>
    <w:rsid w:val="008D14DC"/>
    <w:rsid w:val="008D71A2"/>
    <w:rsid w:val="00912ED4"/>
    <w:rsid w:val="009318AC"/>
    <w:rsid w:val="00934F73"/>
    <w:rsid w:val="00950AD7"/>
    <w:rsid w:val="00961810"/>
    <w:rsid w:val="009663A0"/>
    <w:rsid w:val="00967A0B"/>
    <w:rsid w:val="009710C7"/>
    <w:rsid w:val="00997668"/>
    <w:rsid w:val="009C7228"/>
    <w:rsid w:val="009E079A"/>
    <w:rsid w:val="009E4C14"/>
    <w:rsid w:val="009E6933"/>
    <w:rsid w:val="00A121AE"/>
    <w:rsid w:val="00A2466F"/>
    <w:rsid w:val="00A35217"/>
    <w:rsid w:val="00A40087"/>
    <w:rsid w:val="00A41638"/>
    <w:rsid w:val="00A50D74"/>
    <w:rsid w:val="00A51BCF"/>
    <w:rsid w:val="00A67F65"/>
    <w:rsid w:val="00A800BE"/>
    <w:rsid w:val="00A877ED"/>
    <w:rsid w:val="00AA187F"/>
    <w:rsid w:val="00AA3969"/>
    <w:rsid w:val="00AA460C"/>
    <w:rsid w:val="00AB5259"/>
    <w:rsid w:val="00AE7BD7"/>
    <w:rsid w:val="00AF3711"/>
    <w:rsid w:val="00B35D35"/>
    <w:rsid w:val="00B42F07"/>
    <w:rsid w:val="00B50354"/>
    <w:rsid w:val="00B5549F"/>
    <w:rsid w:val="00B55979"/>
    <w:rsid w:val="00B71F22"/>
    <w:rsid w:val="00BE71AF"/>
    <w:rsid w:val="00C17193"/>
    <w:rsid w:val="00C26B9A"/>
    <w:rsid w:val="00C764D0"/>
    <w:rsid w:val="00C94583"/>
    <w:rsid w:val="00C96525"/>
    <w:rsid w:val="00CC3C37"/>
    <w:rsid w:val="00CD02AE"/>
    <w:rsid w:val="00CE13D6"/>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C74B6"/>
    <w:rsid w:val="00ED738B"/>
    <w:rsid w:val="00F0110D"/>
    <w:rsid w:val="00F01ECE"/>
    <w:rsid w:val="00F02D50"/>
    <w:rsid w:val="00F04DBC"/>
    <w:rsid w:val="00F2257C"/>
    <w:rsid w:val="00F24489"/>
    <w:rsid w:val="00F352D6"/>
    <w:rsid w:val="00F52ABB"/>
    <w:rsid w:val="00F7009F"/>
    <w:rsid w:val="00F74081"/>
    <w:rsid w:val="00F831EC"/>
    <w:rsid w:val="00F861C9"/>
    <w:rsid w:val="00F87D18"/>
    <w:rsid w:val="00FB3650"/>
    <w:rsid w:val="00FB502B"/>
    <w:rsid w:val="00FD0DF7"/>
    <w:rsid w:val="00FD7A0C"/>
    <w:rsid w:val="00FE5FFE"/>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50D74"/>
    <w:pPr>
      <w:spacing w:after="200" w:line="276" w:lineRule="auto"/>
    </w:pPr>
    <w:rPr>
      <w:lang w:val="en-US" w:eastAsia="en-US"/>
    </w:rPr>
  </w:style>
  <w:style w:type="paragraph" w:styleId="Heading1">
    <w:name w:val="heading 1"/>
    <w:basedOn w:val="Normal"/>
    <w:next w:val="Normal"/>
    <w:link w:val="Heading1Char"/>
    <w:uiPriority w:val="99"/>
    <w:qFormat/>
    <w:rsid w:val="00AE7BD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6F0EAF"/>
    <w:pPr>
      <w:keepNext/>
      <w:tabs>
        <w:tab w:val="left" w:pos="720"/>
      </w:tabs>
      <w:spacing w:before="200" w:after="100" w:line="300" w:lineRule="exact"/>
      <w:ind w:left="180"/>
      <w:outlineLvl w:val="1"/>
    </w:pPr>
    <w:rPr>
      <w:rFonts w:ascii="Arial Bold" w:hAnsi="Arial Bold"/>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7BD7"/>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F0EAF"/>
    <w:rPr>
      <w:rFonts w:ascii="Arial Bold" w:hAnsi="Arial Bold" w:cs="Times New Roman"/>
      <w:b/>
    </w:rPr>
  </w:style>
  <w:style w:type="paragraph" w:styleId="NoSpacing">
    <w:name w:val="No Spacing"/>
    <w:link w:val="NoSpacingChar"/>
    <w:uiPriority w:val="99"/>
    <w:qFormat/>
    <w:rsid w:val="006009F8"/>
    <w:rPr>
      <w:lang w:val="en-US" w:eastAsia="en-US"/>
    </w:rPr>
  </w:style>
  <w:style w:type="character" w:customStyle="1" w:styleId="NoSpacingChar">
    <w:name w:val="No Spacing Char"/>
    <w:basedOn w:val="DefaultParagraphFont"/>
    <w:link w:val="NoSpacing"/>
    <w:uiPriority w:val="99"/>
    <w:locked/>
    <w:rsid w:val="006009F8"/>
    <w:rPr>
      <w:rFonts w:cs="Times New Roman"/>
      <w:sz w:val="22"/>
      <w:szCs w:val="22"/>
      <w:lang w:val="en-US" w:eastAsia="en-US" w:bidi="ar-SA"/>
    </w:rPr>
  </w:style>
  <w:style w:type="paragraph" w:styleId="BalloonText">
    <w:name w:val="Balloon Text"/>
    <w:basedOn w:val="Normal"/>
    <w:link w:val="BalloonTextChar"/>
    <w:uiPriority w:val="99"/>
    <w:semiHidden/>
    <w:rsid w:val="0060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09F8"/>
    <w:rPr>
      <w:rFonts w:ascii="Tahoma" w:hAnsi="Tahoma" w:cs="Tahoma"/>
      <w:sz w:val="16"/>
      <w:szCs w:val="16"/>
    </w:rPr>
  </w:style>
  <w:style w:type="paragraph" w:styleId="Header">
    <w:name w:val="header"/>
    <w:basedOn w:val="Normal"/>
    <w:link w:val="HeaderChar"/>
    <w:uiPriority w:val="99"/>
    <w:rsid w:val="00AE7BD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E7BD7"/>
    <w:rPr>
      <w:rFonts w:cs="Times New Roman"/>
    </w:rPr>
  </w:style>
  <w:style w:type="paragraph" w:styleId="Footer">
    <w:name w:val="footer"/>
    <w:basedOn w:val="Normal"/>
    <w:link w:val="FooterChar"/>
    <w:uiPriority w:val="99"/>
    <w:rsid w:val="00AE7BD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E7BD7"/>
    <w:rPr>
      <w:rFonts w:cs="Times New Roman"/>
    </w:rPr>
  </w:style>
  <w:style w:type="paragraph" w:styleId="TOCHeading">
    <w:name w:val="TOC Heading"/>
    <w:basedOn w:val="Heading1"/>
    <w:next w:val="Normal"/>
    <w:uiPriority w:val="99"/>
    <w:qFormat/>
    <w:rsid w:val="00AE7BD7"/>
    <w:pPr>
      <w:outlineLvl w:val="9"/>
    </w:pPr>
  </w:style>
  <w:style w:type="paragraph" w:styleId="TOC2">
    <w:name w:val="toc 2"/>
    <w:basedOn w:val="Normal"/>
    <w:next w:val="Normal"/>
    <w:autoRedefine/>
    <w:uiPriority w:val="99"/>
    <w:rsid w:val="00AE7BD7"/>
    <w:pPr>
      <w:spacing w:after="100"/>
      <w:ind w:left="220"/>
    </w:pPr>
  </w:style>
  <w:style w:type="paragraph" w:styleId="TOC1">
    <w:name w:val="toc 1"/>
    <w:basedOn w:val="Normal"/>
    <w:next w:val="Normal"/>
    <w:autoRedefine/>
    <w:uiPriority w:val="99"/>
    <w:rsid w:val="00AE7BD7"/>
    <w:pPr>
      <w:spacing w:after="100"/>
    </w:pPr>
  </w:style>
  <w:style w:type="paragraph" w:styleId="TOC3">
    <w:name w:val="toc 3"/>
    <w:basedOn w:val="Normal"/>
    <w:next w:val="Normal"/>
    <w:autoRedefine/>
    <w:uiPriority w:val="99"/>
    <w:semiHidden/>
    <w:rsid w:val="00AE7BD7"/>
    <w:pPr>
      <w:spacing w:after="100"/>
      <w:ind w:left="440"/>
    </w:pPr>
  </w:style>
  <w:style w:type="paragraph" w:styleId="TOC9">
    <w:name w:val="toc 9"/>
    <w:basedOn w:val="Normal"/>
    <w:next w:val="Normal"/>
    <w:autoRedefine/>
    <w:uiPriority w:val="99"/>
    <w:semiHidden/>
    <w:rsid w:val="006F0EAF"/>
    <w:pPr>
      <w:spacing w:after="100"/>
      <w:ind w:left="1760"/>
    </w:pPr>
  </w:style>
  <w:style w:type="paragraph" w:customStyle="1" w:styleId="Normal00">
    <w:name w:val="Normal 0/0"/>
    <w:basedOn w:val="Normal"/>
    <w:uiPriority w:val="99"/>
    <w:rsid w:val="006F0EAF"/>
    <w:pPr>
      <w:spacing w:after="0" w:line="300" w:lineRule="exact"/>
    </w:pPr>
    <w:rPr>
      <w:rFonts w:ascii="Arial" w:hAnsi="Arial"/>
      <w:sz w:val="20"/>
      <w:szCs w:val="24"/>
    </w:rPr>
  </w:style>
  <w:style w:type="paragraph" w:customStyle="1" w:styleId="TableText">
    <w:name w:val="Table Text"/>
    <w:basedOn w:val="Normal"/>
    <w:uiPriority w:val="99"/>
    <w:rsid w:val="006F0EAF"/>
    <w:pPr>
      <w:spacing w:after="0" w:line="220" w:lineRule="exact"/>
    </w:pPr>
    <w:rPr>
      <w:rFonts w:ascii="Arial" w:hAnsi="Arial"/>
      <w:sz w:val="18"/>
      <w:szCs w:val="24"/>
    </w:rPr>
  </w:style>
  <w:style w:type="paragraph" w:styleId="BodyTextIndent">
    <w:name w:val="Body Text Indent"/>
    <w:basedOn w:val="Normal"/>
    <w:link w:val="BodyTextIndentChar"/>
    <w:uiPriority w:val="99"/>
    <w:rsid w:val="006F0EAF"/>
    <w:pPr>
      <w:spacing w:line="300" w:lineRule="exact"/>
      <w:ind w:left="720"/>
    </w:pPr>
    <w:rPr>
      <w:rFonts w:ascii="Arial" w:hAnsi="Arial"/>
      <w:sz w:val="20"/>
      <w:szCs w:val="24"/>
    </w:rPr>
  </w:style>
  <w:style w:type="character" w:customStyle="1" w:styleId="BodyTextIndentChar">
    <w:name w:val="Body Text Indent Char"/>
    <w:basedOn w:val="DefaultParagraphFont"/>
    <w:link w:val="BodyTextIndent"/>
    <w:uiPriority w:val="99"/>
    <w:locked/>
    <w:rsid w:val="006F0EAF"/>
    <w:rPr>
      <w:rFonts w:ascii="Arial" w:hAnsi="Arial" w:cs="Times New Roman"/>
      <w:sz w:val="24"/>
      <w:szCs w:val="24"/>
    </w:rPr>
  </w:style>
  <w:style w:type="character" w:styleId="Hyperlink">
    <w:name w:val="Hyperlink"/>
    <w:basedOn w:val="DefaultParagraphFont"/>
    <w:uiPriority w:val="99"/>
    <w:rsid w:val="006F0EAF"/>
    <w:rPr>
      <w:rFonts w:cs="Times New Roman"/>
      <w:color w:val="0000FF"/>
      <w:u w:val="single"/>
    </w:rPr>
  </w:style>
  <w:style w:type="paragraph" w:styleId="ListParagraph">
    <w:name w:val="List Paragraph"/>
    <w:basedOn w:val="Normal"/>
    <w:uiPriority w:val="99"/>
    <w:qFormat/>
    <w:rsid w:val="002A48D4"/>
    <w:pPr>
      <w:spacing w:after="0" w:line="240" w:lineRule="auto"/>
      <w:ind w:left="708"/>
    </w:pPr>
    <w:rPr>
      <w:rFonts w:ascii="Times New Roman" w:hAnsi="Times New Roman"/>
      <w:sz w:val="24"/>
      <w:szCs w:val="24"/>
      <w:lang w:val="es-ES" w:eastAsia="es-ES"/>
    </w:rPr>
  </w:style>
  <w:style w:type="table" w:customStyle="1" w:styleId="Listaclara1">
    <w:name w:val="Lista clara1"/>
    <w:uiPriority w:val="99"/>
    <w:rsid w:val="002A48D4"/>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pple-style-span">
    <w:name w:val="apple-style-span"/>
    <w:basedOn w:val="DefaultParagraphFont"/>
    <w:uiPriority w:val="99"/>
    <w:rsid w:val="00812A11"/>
    <w:rPr>
      <w:rFonts w:cs="Times New Roman"/>
    </w:rPr>
  </w:style>
  <w:style w:type="character" w:customStyle="1" w:styleId="apple-converted-space">
    <w:name w:val="apple-converted-space"/>
    <w:basedOn w:val="DefaultParagraphFont"/>
    <w:uiPriority w:val="99"/>
    <w:rsid w:val="00812A11"/>
    <w:rPr>
      <w:rFonts w:cs="Times New Roman"/>
    </w:rPr>
  </w:style>
</w:styles>
</file>

<file path=word/webSettings.xml><?xml version="1.0" encoding="utf-8"?>
<w:webSettings xmlns:r="http://schemas.openxmlformats.org/officeDocument/2006/relationships" xmlns:w="http://schemas.openxmlformats.org/wordprocessingml/2006/main">
  <w:divs>
    <w:div w:id="358631803">
      <w:marLeft w:val="0"/>
      <w:marRight w:val="0"/>
      <w:marTop w:val="0"/>
      <w:marBottom w:val="0"/>
      <w:divBdr>
        <w:top w:val="none" w:sz="0" w:space="0" w:color="auto"/>
        <w:left w:val="none" w:sz="0" w:space="0" w:color="auto"/>
        <w:bottom w:val="none" w:sz="0" w:space="0" w:color="auto"/>
        <w:right w:val="none" w:sz="0" w:space="0" w:color="auto"/>
      </w:divBdr>
      <w:divsChild>
        <w:div w:id="358631809">
          <w:marLeft w:val="0"/>
          <w:marRight w:val="0"/>
          <w:marTop w:val="0"/>
          <w:marBottom w:val="0"/>
          <w:divBdr>
            <w:top w:val="none" w:sz="0" w:space="0" w:color="auto"/>
            <w:left w:val="none" w:sz="0" w:space="0" w:color="auto"/>
            <w:bottom w:val="none" w:sz="0" w:space="0" w:color="auto"/>
            <w:right w:val="none" w:sz="0" w:space="0" w:color="auto"/>
          </w:divBdr>
          <w:divsChild>
            <w:div w:id="358631813">
              <w:marLeft w:val="0"/>
              <w:marRight w:val="0"/>
              <w:marTop w:val="0"/>
              <w:marBottom w:val="0"/>
              <w:divBdr>
                <w:top w:val="none" w:sz="0" w:space="0" w:color="auto"/>
                <w:left w:val="none" w:sz="0" w:space="0" w:color="auto"/>
                <w:bottom w:val="none" w:sz="0" w:space="0" w:color="auto"/>
                <w:right w:val="none" w:sz="0" w:space="0" w:color="auto"/>
              </w:divBdr>
              <w:divsChild>
                <w:div w:id="358631815">
                  <w:marLeft w:val="251"/>
                  <w:marRight w:val="251"/>
                  <w:marTop w:val="0"/>
                  <w:marBottom w:val="0"/>
                  <w:divBdr>
                    <w:top w:val="single" w:sz="6" w:space="0" w:color="999999"/>
                    <w:left w:val="single" w:sz="2" w:space="0" w:color="999999"/>
                    <w:bottom w:val="single" w:sz="2" w:space="0" w:color="999999"/>
                    <w:right w:val="single" w:sz="6" w:space="0" w:color="999999"/>
                  </w:divBdr>
                  <w:divsChild>
                    <w:div w:id="358631805">
                      <w:marLeft w:val="0"/>
                      <w:marRight w:val="0"/>
                      <w:marTop w:val="0"/>
                      <w:marBottom w:val="0"/>
                      <w:divBdr>
                        <w:top w:val="none" w:sz="0" w:space="0" w:color="auto"/>
                        <w:left w:val="none" w:sz="0" w:space="0" w:color="auto"/>
                        <w:bottom w:val="none" w:sz="0" w:space="0" w:color="auto"/>
                        <w:right w:val="none" w:sz="0" w:space="0" w:color="auto"/>
                      </w:divBdr>
                      <w:divsChild>
                        <w:div w:id="358631808">
                          <w:marLeft w:val="0"/>
                          <w:marRight w:val="0"/>
                          <w:marTop w:val="0"/>
                          <w:marBottom w:val="0"/>
                          <w:divBdr>
                            <w:top w:val="none" w:sz="0" w:space="0" w:color="auto"/>
                            <w:left w:val="none" w:sz="0" w:space="0" w:color="auto"/>
                            <w:bottom w:val="none" w:sz="0" w:space="0" w:color="auto"/>
                            <w:right w:val="none" w:sz="0" w:space="0" w:color="auto"/>
                          </w:divBdr>
                          <w:divsChild>
                            <w:div w:id="358631812">
                              <w:marLeft w:val="0"/>
                              <w:marRight w:val="0"/>
                              <w:marTop w:val="0"/>
                              <w:marBottom w:val="0"/>
                              <w:divBdr>
                                <w:top w:val="none" w:sz="0" w:space="0" w:color="auto"/>
                                <w:left w:val="none" w:sz="0" w:space="0" w:color="auto"/>
                                <w:bottom w:val="none" w:sz="0" w:space="0" w:color="auto"/>
                                <w:right w:val="none" w:sz="0" w:space="0" w:color="auto"/>
                              </w:divBdr>
                              <w:divsChild>
                                <w:div w:id="358631801">
                                  <w:marLeft w:val="0"/>
                                  <w:marRight w:val="0"/>
                                  <w:marTop w:val="0"/>
                                  <w:marBottom w:val="0"/>
                                  <w:divBdr>
                                    <w:top w:val="none" w:sz="0" w:space="0" w:color="auto"/>
                                    <w:left w:val="none" w:sz="0" w:space="0" w:color="auto"/>
                                    <w:bottom w:val="none" w:sz="0" w:space="0" w:color="auto"/>
                                    <w:right w:val="none" w:sz="0" w:space="0" w:color="auto"/>
                                  </w:divBdr>
                                  <w:divsChild>
                                    <w:div w:id="358631814">
                                      <w:marLeft w:val="0"/>
                                      <w:marRight w:val="0"/>
                                      <w:marTop w:val="0"/>
                                      <w:marBottom w:val="0"/>
                                      <w:divBdr>
                                        <w:top w:val="none" w:sz="0" w:space="0" w:color="auto"/>
                                        <w:left w:val="none" w:sz="0" w:space="0" w:color="auto"/>
                                        <w:bottom w:val="none" w:sz="0" w:space="0" w:color="auto"/>
                                        <w:right w:val="none" w:sz="0" w:space="0" w:color="auto"/>
                                      </w:divBdr>
                                      <w:divsChild>
                                        <w:div w:id="358631802">
                                          <w:marLeft w:val="0"/>
                                          <w:marRight w:val="0"/>
                                          <w:marTop w:val="0"/>
                                          <w:marBottom w:val="0"/>
                                          <w:divBdr>
                                            <w:top w:val="none" w:sz="0" w:space="0" w:color="auto"/>
                                            <w:left w:val="none" w:sz="0" w:space="0" w:color="auto"/>
                                            <w:bottom w:val="none" w:sz="0" w:space="0" w:color="auto"/>
                                            <w:right w:val="none" w:sz="0" w:space="0" w:color="auto"/>
                                          </w:divBdr>
                                          <w:divsChild>
                                            <w:div w:id="358631806">
                                              <w:marLeft w:val="0"/>
                                              <w:marRight w:val="0"/>
                                              <w:marTop w:val="0"/>
                                              <w:marBottom w:val="0"/>
                                              <w:divBdr>
                                                <w:top w:val="none" w:sz="0" w:space="0" w:color="auto"/>
                                                <w:left w:val="none" w:sz="0" w:space="0" w:color="auto"/>
                                                <w:bottom w:val="none" w:sz="0" w:space="0" w:color="auto"/>
                                                <w:right w:val="none" w:sz="0" w:space="0" w:color="auto"/>
                                              </w:divBdr>
                                              <w:divsChild>
                                                <w:div w:id="358631807">
                                                  <w:marLeft w:val="0"/>
                                                  <w:marRight w:val="0"/>
                                                  <w:marTop w:val="0"/>
                                                  <w:marBottom w:val="0"/>
                                                  <w:divBdr>
                                                    <w:top w:val="none" w:sz="0" w:space="0" w:color="auto"/>
                                                    <w:left w:val="none" w:sz="0" w:space="0" w:color="auto"/>
                                                    <w:bottom w:val="single" w:sz="6" w:space="0" w:color="777777"/>
                                                    <w:right w:val="none" w:sz="0" w:space="0" w:color="auto"/>
                                                  </w:divBdr>
                                                  <w:divsChild>
                                                    <w:div w:id="358631799">
                                                      <w:marLeft w:val="0"/>
                                                      <w:marRight w:val="0"/>
                                                      <w:marTop w:val="0"/>
                                                      <w:marBottom w:val="0"/>
                                                      <w:divBdr>
                                                        <w:top w:val="single" w:sz="2" w:space="0" w:color="777777"/>
                                                        <w:left w:val="single" w:sz="6" w:space="0" w:color="777777"/>
                                                        <w:bottom w:val="single" w:sz="2" w:space="0" w:color="777777"/>
                                                        <w:right w:val="single" w:sz="6" w:space="0" w:color="777777"/>
                                                      </w:divBdr>
                                                      <w:divsChild>
                                                        <w:div w:id="358631800">
                                                          <w:marLeft w:val="0"/>
                                                          <w:marRight w:val="0"/>
                                                          <w:marTop w:val="0"/>
                                                          <w:marBottom w:val="0"/>
                                                          <w:divBdr>
                                                            <w:top w:val="none" w:sz="0" w:space="0" w:color="auto"/>
                                                            <w:left w:val="none" w:sz="0" w:space="0" w:color="auto"/>
                                                            <w:bottom w:val="none" w:sz="0" w:space="0" w:color="auto"/>
                                                            <w:right w:val="none" w:sz="0" w:space="0" w:color="auto"/>
                                                          </w:divBdr>
                                                          <w:divsChild>
                                                            <w:div w:id="358631804">
                                                              <w:marLeft w:val="0"/>
                                                              <w:marRight w:val="0"/>
                                                              <w:marTop w:val="84"/>
                                                              <w:marBottom w:val="84"/>
                                                              <w:divBdr>
                                                                <w:top w:val="none" w:sz="0" w:space="0" w:color="auto"/>
                                                                <w:left w:val="none" w:sz="0" w:space="0" w:color="auto"/>
                                                                <w:bottom w:val="none" w:sz="0" w:space="0" w:color="auto"/>
                                                                <w:right w:val="none" w:sz="0" w:space="0" w:color="auto"/>
                                                              </w:divBdr>
                                                              <w:divsChild>
                                                                <w:div w:id="358631811">
                                                                  <w:marLeft w:val="84"/>
                                                                  <w:marRight w:val="84"/>
                                                                  <w:marTop w:val="0"/>
                                                                  <w:marBottom w:val="0"/>
                                                                  <w:divBdr>
                                                                    <w:top w:val="none" w:sz="0" w:space="0" w:color="auto"/>
                                                                    <w:left w:val="none" w:sz="0" w:space="0" w:color="auto"/>
                                                                    <w:bottom w:val="none" w:sz="0" w:space="0" w:color="auto"/>
                                                                    <w:right w:val="none" w:sz="0" w:space="0" w:color="auto"/>
                                                                  </w:divBdr>
                                                                  <w:divsChild>
                                                                    <w:div w:id="358631816">
                                                                      <w:marLeft w:val="0"/>
                                                                      <w:marRight w:val="0"/>
                                                                      <w:marTop w:val="0"/>
                                                                      <w:marBottom w:val="0"/>
                                                                      <w:divBdr>
                                                                        <w:top w:val="none" w:sz="0" w:space="0" w:color="auto"/>
                                                                        <w:left w:val="none" w:sz="0" w:space="0" w:color="auto"/>
                                                                        <w:bottom w:val="none" w:sz="0" w:space="0" w:color="auto"/>
                                                                        <w:right w:val="none" w:sz="0" w:space="0" w:color="auto"/>
                                                                      </w:divBdr>
                                                                      <w:divsChild>
                                                                        <w:div w:id="358631810">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12</Pages>
  <Words>2013</Words>
  <Characters>11077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dc:subject>
  <dc:creator>Kaya Pamela Marina Cortegana</dc:creator>
  <cp:keywords/>
  <dc:description/>
  <cp:lastModifiedBy>alumnos</cp:lastModifiedBy>
  <cp:revision>2</cp:revision>
  <dcterms:created xsi:type="dcterms:W3CDTF">2011-06-08T22:59:00Z</dcterms:created>
  <dcterms:modified xsi:type="dcterms:W3CDTF">2011-06-08T22:59:00Z</dcterms:modified>
</cp:coreProperties>
</file>