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0554D">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0032C7">
                                      <w:rPr>
                                        <w:color w:val="FFFFFF" w:themeColor="background1"/>
                                        <w:sz w:val="40"/>
                                        <w:szCs w:val="40"/>
                                        <w:lang w:val="es-ES"/>
                                      </w:rPr>
                                      <w:t>1</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0032C7">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2">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543CA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932FB9">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543CAC">
          <w:rPr>
            <w:noProof/>
            <w:webHidden/>
          </w:rPr>
          <w:fldChar w:fldCharType="begin"/>
        </w:r>
        <w:r w:rsidR="00800EDF">
          <w:rPr>
            <w:noProof/>
            <w:webHidden/>
          </w:rPr>
          <w:instrText xml:space="preserve"> PAGEREF _Toc292018114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932FB9">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543CAC">
          <w:rPr>
            <w:noProof/>
            <w:webHidden/>
          </w:rPr>
          <w:fldChar w:fldCharType="begin"/>
        </w:r>
        <w:r w:rsidR="00800EDF">
          <w:rPr>
            <w:noProof/>
            <w:webHidden/>
          </w:rPr>
          <w:instrText xml:space="preserve"> PAGEREF _Toc292018115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932FB9">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543CAC">
          <w:rPr>
            <w:noProof/>
            <w:webHidden/>
          </w:rPr>
          <w:fldChar w:fldCharType="begin"/>
        </w:r>
        <w:r w:rsidR="00800EDF">
          <w:rPr>
            <w:noProof/>
            <w:webHidden/>
          </w:rPr>
          <w:instrText xml:space="preserve"> PAGEREF _Toc292018116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932FB9">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543CAC">
          <w:rPr>
            <w:noProof/>
            <w:webHidden/>
          </w:rPr>
          <w:fldChar w:fldCharType="begin"/>
        </w:r>
        <w:r w:rsidR="00800EDF">
          <w:rPr>
            <w:noProof/>
            <w:webHidden/>
          </w:rPr>
          <w:instrText xml:space="preserve"> PAGEREF _Toc292018117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932FB9">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543CAC">
          <w:rPr>
            <w:noProof/>
            <w:webHidden/>
          </w:rPr>
          <w:fldChar w:fldCharType="begin"/>
        </w:r>
        <w:r w:rsidR="00800EDF">
          <w:rPr>
            <w:noProof/>
            <w:webHidden/>
          </w:rPr>
          <w:instrText xml:space="preserve"> PAGEREF _Toc292018118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932FB9">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543CAC">
          <w:rPr>
            <w:noProof/>
            <w:webHidden/>
          </w:rPr>
          <w:fldChar w:fldCharType="begin"/>
        </w:r>
        <w:r w:rsidR="00800EDF">
          <w:rPr>
            <w:noProof/>
            <w:webHidden/>
          </w:rPr>
          <w:instrText xml:space="preserve"> PAGEREF _Toc292018119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932FB9">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543CAC">
          <w:rPr>
            <w:noProof/>
            <w:webHidden/>
          </w:rPr>
          <w:fldChar w:fldCharType="begin"/>
        </w:r>
        <w:r w:rsidR="00800EDF">
          <w:rPr>
            <w:noProof/>
            <w:webHidden/>
          </w:rPr>
          <w:instrText xml:space="preserve"> PAGEREF _Toc292018120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932FB9">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543CAC">
          <w:rPr>
            <w:noProof/>
            <w:webHidden/>
          </w:rPr>
          <w:fldChar w:fldCharType="begin"/>
        </w:r>
        <w:r w:rsidR="00800EDF">
          <w:rPr>
            <w:noProof/>
            <w:webHidden/>
          </w:rPr>
          <w:instrText xml:space="preserve"> PAGEREF _Toc292018121 \h </w:instrText>
        </w:r>
        <w:r w:rsidR="00543CAC">
          <w:rPr>
            <w:noProof/>
            <w:webHidden/>
          </w:rPr>
        </w:r>
        <w:r w:rsidR="00543CAC">
          <w:rPr>
            <w:noProof/>
            <w:webHidden/>
          </w:rPr>
          <w:fldChar w:fldCharType="separate"/>
        </w:r>
        <w:r w:rsidR="00AF3711">
          <w:rPr>
            <w:noProof/>
            <w:webHidden/>
          </w:rPr>
          <w:t>12</w:t>
        </w:r>
        <w:r w:rsidR="00543CAC">
          <w:rPr>
            <w:noProof/>
            <w:webHidden/>
          </w:rPr>
          <w:fldChar w:fldCharType="end"/>
        </w:r>
      </w:hyperlink>
    </w:p>
    <w:p w:rsidR="00800EDF" w:rsidRDefault="00932FB9">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543CAC">
          <w:rPr>
            <w:noProof/>
            <w:webHidden/>
          </w:rPr>
          <w:fldChar w:fldCharType="begin"/>
        </w:r>
        <w:r w:rsidR="00800EDF">
          <w:rPr>
            <w:noProof/>
            <w:webHidden/>
          </w:rPr>
          <w:instrText xml:space="preserve"> PAGEREF _Toc292018125 \h </w:instrText>
        </w:r>
        <w:r w:rsidR="00543CAC">
          <w:rPr>
            <w:noProof/>
            <w:webHidden/>
          </w:rPr>
        </w:r>
        <w:r w:rsidR="00543CAC">
          <w:rPr>
            <w:noProof/>
            <w:webHidden/>
          </w:rPr>
          <w:fldChar w:fldCharType="separate"/>
        </w:r>
        <w:r w:rsidR="00AF3711">
          <w:rPr>
            <w:noProof/>
            <w:webHidden/>
          </w:rPr>
          <w:t>13</w:t>
        </w:r>
        <w:r w:rsidR="00543CAC">
          <w:rPr>
            <w:noProof/>
            <w:webHidden/>
          </w:rPr>
          <w:fldChar w:fldCharType="end"/>
        </w:r>
      </w:hyperlink>
    </w:p>
    <w:p w:rsidR="006F0EAF" w:rsidRDefault="00543CA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D7078A">
        <w:rPr>
          <w:rFonts w:eastAsia="Calibri" w:cstheme="minorHAnsi"/>
          <w:lang w:val="es-ES"/>
        </w:rPr>
        <w:t xml:space="preserve">El propósito del proceso es definir todas las actividades que conforman el proceso de  planificación de compra, desde compras extraordinarias hasta compras regulares. El proceso tiene como objetivo realizar la planificación de </w:t>
      </w:r>
      <w:r w:rsidR="006C4E45">
        <w:rPr>
          <w:rFonts w:eastAsia="Calibri" w:cstheme="minorHAnsi"/>
          <w:lang w:val="es-ES"/>
        </w:rPr>
        <w:t xml:space="preserve">contratos para los servicios que requerirá la empresa asociados a </w:t>
      </w:r>
      <w:r w:rsidR="00D7078A">
        <w:rPr>
          <w:rFonts w:eastAsia="Calibri" w:cstheme="minorHAnsi"/>
          <w:lang w:val="es-ES"/>
        </w:rPr>
        <w:t xml:space="preserve"> maquinarias, bienes o equipos, y la planificación de compras de productos internos de la empresa. </w:t>
      </w:r>
    </w:p>
    <w:p w:rsidR="00350B6A" w:rsidRDefault="00350B6A" w:rsidP="000E4366">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8467DE">
        <w:rPr>
          <w:rFonts w:eastAsia="Calibri" w:cstheme="minorHAnsi"/>
          <w:lang w:val="es-ES"/>
        </w:rPr>
        <w:t>El proceso inicia con la definición del tipo de solicitud de pedido que ingresa, este puede ser tomado como rutinario o como no rutinario. Si la solicitud es un pedido no rutinario se lo considera como una compra extraordinaria, la cual será considerada como una compra de prioridad alta. Para las sol</w:t>
      </w:r>
      <w:r w:rsidR="00B74DD0">
        <w:rPr>
          <w:rFonts w:eastAsia="Calibri" w:cstheme="minorHAnsi"/>
          <w:lang w:val="es-ES"/>
        </w:rPr>
        <w:t>icitudes de pedidos rutinarias se considera a nivel más detallado la planificación de presupuestos por áreas y la programación de las compras anuales, con el fin de realizar los planes de contratos y compras, y para los planes de contratos y compras para temas de adquisiciones y contratos extraordinarios.</w:t>
      </w:r>
      <w:r w:rsidR="002D43FB">
        <w:rPr>
          <w:rFonts w:eastAsia="Calibri" w:cstheme="minorHAnsi"/>
          <w:lang w:val="es-ES"/>
        </w:rPr>
        <w:t xml:space="preserve"> Dichos planes consolidaran los temas de asignación de compradores y asistentes, fijación de fechas de compras o contratos, estimaciones de tiempo para la atención de solicitudes de pedido, según sea el tipo de solicitud de pedido.</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8467DE"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327F53"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2E15FA"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compras asociadas a productos internos.</w:t>
            </w:r>
          </w:p>
        </w:tc>
      </w:tr>
      <w:tr w:rsidR="006F14B0" w:rsidRPr="00327F53"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6F14B0" w:rsidRPr="00707C54" w:rsidRDefault="002E15FA"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w:t>
            </w:r>
            <w:r w:rsidR="00CC4FF7">
              <w:rPr>
                <w:rFonts w:asciiTheme="minorHAnsi" w:hAnsiTheme="minorHAnsi" w:cstheme="minorHAnsi"/>
                <w:sz w:val="20"/>
                <w:szCs w:val="20"/>
              </w:rPr>
              <w:t>ntratos de bienes y/o servicios.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p w:rsidR="002A48D4" w:rsidRPr="001652E8" w:rsidRDefault="001652E8" w:rsidP="001652E8">
      <w:pPr>
        <w:pStyle w:val="Ttulo2"/>
        <w:spacing w:line="360" w:lineRule="auto"/>
        <w:ind w:firstLine="540"/>
        <w:rPr>
          <w:rFonts w:asciiTheme="minorHAnsi" w:hAnsiTheme="minorHAnsi" w:cstheme="minorHAnsi"/>
          <w:b w:val="0"/>
          <w:lang w:val="es-PE"/>
        </w:rPr>
      </w:pPr>
      <w:r w:rsidRPr="001652E8">
        <w:rPr>
          <w:rFonts w:asciiTheme="minorHAnsi" w:hAnsiTheme="minorHAnsi" w:cstheme="minorHAnsi"/>
          <w:b w:val="0"/>
          <w:lang w:val="es-PE"/>
        </w:rPr>
        <w:t>No se requieren stakeholders para el proceso.</w:t>
      </w: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Solicitud que especifican los </w:t>
            </w:r>
            <w:r>
              <w:rPr>
                <w:rFonts w:asciiTheme="minorHAnsi" w:hAnsiTheme="minorHAnsi" w:cstheme="minorHAnsi"/>
                <w:sz w:val="20"/>
                <w:szCs w:val="20"/>
              </w:rPr>
              <w:lastRenderedPageBreak/>
              <w:t>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Área solicitante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144B8E" w:rsidRPr="00D148B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44B8E" w:rsidRPr="00E93FE2"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extraordinario realizado en base a solicitud de pedido determinado como no rutinario, enfocado a la realización de compras</w:t>
            </w:r>
            <w:r w:rsidR="005E1B27">
              <w:rPr>
                <w:rFonts w:asciiTheme="minorHAnsi" w:hAnsiTheme="minorHAnsi" w:cstheme="minorHAnsi"/>
                <w:sz w:val="20"/>
                <w:szCs w:val="20"/>
              </w:rPr>
              <w:t xml:space="preserve"> agiles debido a su  </w:t>
            </w:r>
            <w:r w:rsidR="008467DE">
              <w:rPr>
                <w:rFonts w:asciiTheme="minorHAnsi" w:hAnsiTheme="minorHAnsi" w:cstheme="minorHAnsi"/>
                <w:sz w:val="20"/>
                <w:szCs w:val="20"/>
              </w:rPr>
              <w:t>importancia</w:t>
            </w:r>
            <w:r>
              <w:rPr>
                <w:rFonts w:asciiTheme="minorHAnsi" w:hAnsiTheme="minorHAnsi" w:cstheme="minorHAnsi"/>
                <w:sz w:val="20"/>
                <w:szCs w:val="20"/>
              </w:rPr>
              <w:t>.</w:t>
            </w:r>
          </w:p>
        </w:tc>
        <w:tc>
          <w:tcPr>
            <w:tcW w:w="2819" w:type="dxa"/>
          </w:tcPr>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44B8E" w:rsidRPr="00707C54"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44B8E" w:rsidRPr="00327F53"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extraordinario de contratos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5E1B2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extraordinario realizado en base a solicitud de pedido determinado como no rutinario, enfocado a la realización de contratos agiles </w:t>
            </w:r>
            <w:r w:rsidR="005E1B27">
              <w:rPr>
                <w:rFonts w:asciiTheme="minorHAnsi" w:hAnsiTheme="minorHAnsi" w:cstheme="minorHAnsi"/>
                <w:sz w:val="20"/>
                <w:szCs w:val="20"/>
              </w:rPr>
              <w:t xml:space="preserve">debido a su  </w:t>
            </w:r>
            <w:r w:rsidR="008467DE">
              <w:rPr>
                <w:rFonts w:asciiTheme="minorHAnsi" w:hAnsiTheme="minorHAnsi" w:cstheme="minorHAnsi"/>
                <w:sz w:val="20"/>
                <w:szCs w:val="20"/>
              </w:rPr>
              <w:t>importancia</w:t>
            </w:r>
            <w:r>
              <w:rPr>
                <w:rFonts w:asciiTheme="minorHAnsi" w:hAnsiTheme="minorHAnsi" w:cstheme="minorHAnsi"/>
                <w:sz w:val="20"/>
                <w:szCs w:val="20"/>
              </w:rPr>
              <w:t>.</w:t>
            </w:r>
          </w:p>
        </w:tc>
        <w:tc>
          <w:tcPr>
            <w:tcW w:w="2819" w:type="dxa"/>
          </w:tcPr>
          <w:p w:rsidR="00144B8E" w:rsidRDefault="00144B8E" w:rsidP="00D30C33">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327F53"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3D676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los contratos</w:t>
            </w:r>
            <w:r w:rsidRPr="003D6763">
              <w:rPr>
                <w:rFonts w:asciiTheme="minorHAnsi" w:hAnsiTheme="minorHAnsi" w:cstheme="minorHAnsi"/>
                <w:sz w:val="20"/>
                <w:szCs w:val="20"/>
              </w:rPr>
              <w:t xml:space="preserve"> programad</w:t>
            </w:r>
            <w:r>
              <w:rPr>
                <w:rFonts w:asciiTheme="minorHAnsi" w:hAnsiTheme="minorHAnsi" w:cstheme="minorHAnsi"/>
                <w:sz w:val="20"/>
                <w:szCs w:val="20"/>
              </w:rPr>
              <w:t>o</w:t>
            </w:r>
            <w:r w:rsidRPr="003D6763">
              <w:rPr>
                <w:rFonts w:asciiTheme="minorHAnsi" w:hAnsiTheme="minorHAnsi" w:cstheme="minorHAnsi"/>
                <w:sz w:val="20"/>
                <w:szCs w:val="20"/>
              </w:rPr>
              <w:t>s con las solicitudes de pedido recibidas. (Estas solicitudes de pedido serían del tipo de pedido de</w:t>
            </w:r>
            <w:r>
              <w:rPr>
                <w:rFonts w:asciiTheme="minorHAnsi" w:hAnsiTheme="minorHAnsi" w:cstheme="minorHAnsi"/>
                <w:sz w:val="20"/>
                <w:szCs w:val="20"/>
              </w:rPr>
              <w:t xml:space="preserve"> contratos por servicios</w:t>
            </w:r>
            <w:r w:rsidRPr="003D6763">
              <w:rPr>
                <w:rFonts w:asciiTheme="minorHAnsi" w:hAnsiTheme="minorHAnsi" w:cstheme="minorHAnsi"/>
                <w:sz w:val="20"/>
                <w:szCs w:val="20"/>
              </w:rPr>
              <w:t>)</w:t>
            </w:r>
            <w:r>
              <w:rPr>
                <w:rFonts w:asciiTheme="minorHAnsi" w:hAnsiTheme="minorHAnsi" w:cstheme="minorHAnsi"/>
                <w:sz w:val="20"/>
                <w:szCs w:val="20"/>
              </w:rPr>
              <w:t>. Además, este plan contiene la relación de asistentes asociados a cada tipo de contrato, fecha de realización de contrato y  tiempo estimado del trámite de compra.</w:t>
            </w:r>
          </w:p>
        </w:tc>
        <w:tc>
          <w:tcPr>
            <w:tcW w:w="2819" w:type="dxa"/>
          </w:tcPr>
          <w:p w:rsidR="00144B8E" w:rsidRDefault="00144B8E" w:rsidP="00D30C33">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D148B2"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w:t>
            </w:r>
            <w:r w:rsidRPr="003D6763">
              <w:rPr>
                <w:rFonts w:asciiTheme="minorHAnsi" w:hAnsiTheme="minorHAnsi" w:cstheme="minorHAnsi"/>
                <w:sz w:val="20"/>
                <w:szCs w:val="20"/>
              </w:rPr>
              <w:t>as compras programadas con las solicitudes de pedido recibidas. (Estas solicitudes de pedido serían del tipo de pedido de compras)</w:t>
            </w:r>
            <w:r>
              <w:rPr>
                <w:rFonts w:asciiTheme="minorHAnsi" w:hAnsiTheme="minorHAnsi" w:cstheme="minorHAnsi"/>
                <w:sz w:val="20"/>
                <w:szCs w:val="20"/>
              </w:rPr>
              <w:t>. Además, este plan contiene la relación de compradores asociados a cada tipo de compra, fecha de realización de compra y  tiempo estimado del trámite de compra.</w:t>
            </w:r>
          </w:p>
        </w:tc>
        <w:tc>
          <w:tcPr>
            <w:tcW w:w="2819" w:type="dxa"/>
          </w:tcPr>
          <w:p w:rsidR="00144B8E" w:rsidRDefault="00144B8E">
            <w:pPr>
              <w:cnfStyle w:val="000000000000" w:firstRow="0" w:lastRow="0" w:firstColumn="0" w:lastColumn="0" w:oddVBand="0" w:evenVBand="0" w:oddHBand="0" w:evenHBand="0" w:firstRowFirstColumn="0" w:firstRowLastColumn="0" w:lastRowFirstColumn="0" w:lastRowLastColumn="0"/>
            </w:pPr>
            <w:r>
              <w:t>Jefe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D85CA7"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85CA7" w:rsidRDefault="00D85CA7"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tcPr>
          <w:p w:rsidR="00D85CA7" w:rsidRPr="00D85CA7" w:rsidRDefault="00392D8F" w:rsidP="00D85CA7">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w:t>
            </w:r>
          </w:p>
        </w:tc>
        <w:tc>
          <w:tcPr>
            <w:tcW w:w="1917" w:type="dxa"/>
            <w:vMerge w:val="restart"/>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tcBorders>
              <w:bottom w:val="single" w:sz="4" w:space="0" w:color="auto"/>
            </w:tcBorders>
          </w:tcPr>
          <w:p w:rsidR="00D85CA7" w:rsidRDefault="00D85CA7"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No hay stock</w:t>
            </w:r>
          </w:p>
          <w:p w:rsidR="00D85CA7" w:rsidRP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p>
        </w:tc>
        <w:tc>
          <w:tcPr>
            <w:tcW w:w="1955" w:type="dxa"/>
            <w:vMerge w:val="restart"/>
          </w:tcPr>
          <w:p w:rsidR="00D85CA7" w:rsidRPr="00E93FE2"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se inicia con la recepción de la solicitud de pedido en el caso de que no exista stock suficiente para poder realizar las actividades de abastecimiento.</w:t>
            </w:r>
          </w:p>
        </w:tc>
        <w:tc>
          <w:tcPr>
            <w:tcW w:w="1701" w:type="dxa"/>
            <w:vMerge w:val="restart"/>
            <w:vAlign w:val="center"/>
          </w:tcPr>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D85CA7" w:rsidRPr="004A6D82" w:rsidTr="00360F64">
        <w:trPr>
          <w:trHeight w:val="335"/>
        </w:trPr>
        <w:tc>
          <w:tcPr>
            <w:cnfStyle w:val="001000000000" w:firstRow="0" w:lastRow="0" w:firstColumn="1" w:lastColumn="0" w:oddVBand="0" w:evenVBand="0" w:oddHBand="0" w:evenHBand="0" w:firstRowFirstColumn="0" w:firstRowLastColumn="0" w:lastRowFirstColumn="0" w:lastRowLastColumn="0"/>
            <w:tcW w:w="675" w:type="dxa"/>
            <w:vMerge/>
          </w:tcPr>
          <w:p w:rsidR="00D85CA7" w:rsidRDefault="00D85CA7" w:rsidP="0001699C">
            <w:pPr>
              <w:pStyle w:val="Prrafodelista"/>
              <w:ind w:left="0"/>
              <w:jc w:val="center"/>
              <w:rPr>
                <w:rFonts w:asciiTheme="minorHAnsi" w:hAnsiTheme="minorHAnsi" w:cstheme="minorHAnsi"/>
                <w:sz w:val="20"/>
                <w:szCs w:val="20"/>
              </w:rPr>
            </w:pPr>
          </w:p>
        </w:tc>
        <w:tc>
          <w:tcPr>
            <w:tcW w:w="2127" w:type="dxa"/>
            <w:vMerge/>
          </w:tcPr>
          <w:p w:rsidR="00D85CA7" w:rsidRDefault="00D85CA7" w:rsidP="00D85CA7">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917" w:type="dxa"/>
            <w:vMerge/>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D85CA7" w:rsidRDefault="00D85CA7" w:rsidP="00D30C33">
            <w:pPr>
              <w:jc w:val="center"/>
              <w:cnfStyle w:val="000000000000" w:firstRow="0" w:lastRow="0" w:firstColumn="0" w:lastColumn="0" w:oddVBand="0" w:evenVBand="0" w:oddHBand="0" w:evenHBand="0" w:firstRowFirstColumn="0" w:firstRowLastColumn="0" w:lastRowFirstColumn="0" w:lastRowLastColumn="0"/>
              <w:rPr>
                <w:lang w:val="es-ES" w:eastAsia="es-ES"/>
              </w:rPr>
            </w:pPr>
          </w:p>
          <w:p w:rsidR="00D85CA7" w:rsidRPr="00E93FE2" w:rsidRDefault="00D85CA7" w:rsidP="00D30C3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lang w:val="es-ES" w:eastAsia="es-ES"/>
              </w:rPr>
              <w:t>Solicitud de pedido</w:t>
            </w:r>
          </w:p>
        </w:tc>
        <w:tc>
          <w:tcPr>
            <w:tcW w:w="1955" w:type="dxa"/>
            <w:vMerge/>
          </w:tcPr>
          <w:p w:rsidR="00D85CA7" w:rsidRPr="00E93FE2"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E34069" w:rsidTr="001C16AA">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127" w:type="dxa"/>
            <w:vMerge w:val="restart"/>
          </w:tcPr>
          <w:p w:rsidR="001C16AA" w:rsidRDefault="001C16AA" w:rsidP="000D4AF8">
            <w:pPr>
              <w:jc w:val="center"/>
              <w:cnfStyle w:val="000000100000" w:firstRow="0" w:lastRow="0" w:firstColumn="0" w:lastColumn="0" w:oddVBand="0" w:evenVBand="0" w:oddHBand="1" w:evenHBand="0" w:firstRowFirstColumn="0" w:firstRowLastColumn="0" w:lastRowFirstColumn="0" w:lastRowLastColumn="0"/>
              <w:rPr>
                <w:lang w:val="es-ES" w:eastAsia="es-ES"/>
              </w:rPr>
            </w:pPr>
          </w:p>
          <w:p w:rsidR="001C16AA" w:rsidRPr="00E93FE2" w:rsidRDefault="001C16AA" w:rsidP="000D4AF8">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lang w:val="es-ES" w:eastAsia="es-ES"/>
              </w:rPr>
              <w:t>Solicitud de pedido</w:t>
            </w:r>
          </w:p>
        </w:tc>
        <w:tc>
          <w:tcPr>
            <w:tcW w:w="1917" w:type="dxa"/>
            <w:vMerge w:val="restart"/>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solicitud y compras definidas</w:t>
            </w:r>
          </w:p>
        </w:tc>
        <w:tc>
          <w:tcPr>
            <w:tcW w:w="1798" w:type="dxa"/>
          </w:tcPr>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analizan si dentro de la solicitud de pedido se están contemplando las compras definidas como históricas, es decir compras recurrentes que son necesarias y frecuentes, como repuestos de equipos, combustible, etc.  Ya que si  se contemplan estas servirán como base para la actualización de las cantidades de las compras históricas.</w:t>
            </w:r>
          </w:p>
        </w:tc>
        <w:tc>
          <w:tcPr>
            <w:tcW w:w="1701" w:type="dxa"/>
            <w:vMerge w:val="restart"/>
            <w:vAlign w:val="center"/>
          </w:tcPr>
          <w:p w:rsidR="001C16AA" w:rsidRDefault="001C16AA" w:rsidP="000D4AF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E34069" w:rsidTr="00360F64">
        <w:trPr>
          <w:trHeight w:val="286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rPr>
            </w:pPr>
          </w:p>
        </w:tc>
        <w:tc>
          <w:tcPr>
            <w:tcW w:w="2127" w:type="dxa"/>
            <w:vMerge/>
          </w:tcPr>
          <w:p w:rsidR="001C16AA" w:rsidRDefault="001C16AA" w:rsidP="000D4AF8">
            <w:pPr>
              <w:jc w:val="center"/>
              <w:cnfStyle w:val="000000000000" w:firstRow="0" w:lastRow="0" w:firstColumn="0" w:lastColumn="0" w:oddVBand="0" w:evenVBand="0" w:oddHBand="0" w:evenHBand="0" w:firstRowFirstColumn="0" w:firstRowLastColumn="0" w:lastRowFirstColumn="0" w:lastRowLastColumn="0"/>
              <w:rPr>
                <w:lang w:val="es-ES" w:eastAsia="es-ES"/>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Clasificación de solicitudes coincidentes con compras históricas</w:t>
            </w:r>
          </w:p>
        </w:tc>
        <w:tc>
          <w:tcPr>
            <w:tcW w:w="1955" w:type="dxa"/>
            <w:vMerge/>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Merge w:val="restart"/>
          </w:tcPr>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C16AA" w:rsidRPr="00E93FE2"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tipo de solicitud</w:t>
            </w:r>
          </w:p>
        </w:tc>
        <w:tc>
          <w:tcPr>
            <w:tcW w:w="1798" w:type="dxa"/>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el tipo de solicitud de pedido en base al criterio de prioridad que presente, estas pueden ser solicitudes de pedidos rutinarias y solicitudes de pedidos no rutinarias consideradas como extraordinarias.</w:t>
            </w:r>
          </w:p>
        </w:tc>
        <w:tc>
          <w:tcPr>
            <w:tcW w:w="1701" w:type="dxa"/>
            <w:vMerge w:val="restart"/>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327F53" w:rsidTr="00360F64">
        <w:trPr>
          <w:trHeight w:val="268"/>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rPr>
            </w:pPr>
          </w:p>
        </w:tc>
        <w:tc>
          <w:tcPr>
            <w:tcW w:w="2127" w:type="dxa"/>
            <w:vMerge/>
          </w:tcPr>
          <w:p w:rsidR="001C16AA"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55" w:type="dxa"/>
            <w:vMerge/>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327F53" w:rsidTr="00360F64">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rPr>
            </w:pPr>
          </w:p>
        </w:tc>
        <w:tc>
          <w:tcPr>
            <w:tcW w:w="2127" w:type="dxa"/>
            <w:vMerge/>
          </w:tcPr>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D30C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tc>
        <w:tc>
          <w:tcPr>
            <w:tcW w:w="1955" w:type="dxa"/>
            <w:vMerge/>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327F53"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tcPr>
          <w:p w:rsidR="001C16AA" w:rsidRPr="00E93FE2" w:rsidRDefault="001C16AA" w:rsidP="00386A4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tc>
        <w:tc>
          <w:tcPr>
            <w:tcW w:w="1917" w:type="dxa"/>
          </w:tcPr>
          <w:p w:rsidR="001C16AA" w:rsidRDefault="001C16AA" w:rsidP="008916A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Clasificar solicitud de pedidos por áreas</w:t>
            </w:r>
          </w:p>
        </w:tc>
        <w:tc>
          <w:tcPr>
            <w:tcW w:w="1798" w:type="dxa"/>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Solicitudes de pedidos clasificadas por área</w:t>
            </w:r>
          </w:p>
        </w:tc>
        <w:tc>
          <w:tcPr>
            <w:tcW w:w="1955" w:type="dxa"/>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la clasificación de pedidos por áreas con el fin de realizar la planificación de presupuestos orientada a su vez por áreas. </w:t>
            </w:r>
          </w:p>
        </w:tc>
        <w:tc>
          <w:tcPr>
            <w:tcW w:w="1701" w:type="dxa"/>
            <w:vAlign w:val="center"/>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C16AA" w:rsidRPr="00250964" w:rsidTr="00536A90">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Pr="00250964"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5</w:t>
            </w:r>
          </w:p>
        </w:tc>
        <w:tc>
          <w:tcPr>
            <w:tcW w:w="2127" w:type="dxa"/>
            <w:vAlign w:val="center"/>
          </w:tcPr>
          <w:p w:rsidR="001C16AA" w:rsidRPr="00E93FE2" w:rsidRDefault="001C16AA" w:rsidP="00D30C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eastAsia="Calibri" w:hAnsiTheme="minorHAnsi" w:cstheme="minorHAnsi"/>
                <w:sz w:val="20"/>
                <w:szCs w:val="20"/>
              </w:rPr>
              <w:t>S</w:t>
            </w:r>
            <w:r w:rsidRPr="00E51D5F">
              <w:rPr>
                <w:rFonts w:asciiTheme="minorHAnsi" w:eastAsia="Calibri" w:hAnsiTheme="minorHAnsi" w:cstheme="minorHAnsi"/>
                <w:sz w:val="20"/>
                <w:szCs w:val="20"/>
              </w:rPr>
              <w:t>olicitudes de pedidos clasificadas por área</w:t>
            </w:r>
          </w:p>
        </w:tc>
        <w:tc>
          <w:tcPr>
            <w:tcW w:w="1917" w:type="dxa"/>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presupuestos</w:t>
            </w:r>
          </w:p>
        </w:tc>
        <w:tc>
          <w:tcPr>
            <w:tcW w:w="1798" w:type="dxa"/>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55" w:type="dxa"/>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la planificación de presupuestos en base a las solicitudes de cada área, todas las solicitudes deben de cubrir el presupuestos especificado por contabilidad, también se toman en cuenta los casos de ampliaciones de </w:t>
            </w:r>
            <w:r>
              <w:rPr>
                <w:rFonts w:asciiTheme="minorHAnsi" w:hAnsiTheme="minorHAnsi" w:cstheme="minorHAnsi"/>
                <w:sz w:val="20"/>
                <w:szCs w:val="20"/>
              </w:rPr>
              <w:lastRenderedPageBreak/>
              <w:t>presupuestos para determinadas solicitudes de pedido.</w:t>
            </w:r>
          </w:p>
        </w:tc>
        <w:tc>
          <w:tcPr>
            <w:tcW w:w="1701" w:type="dxa"/>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C16AA" w:rsidRPr="00250964" w:rsidTr="006066A2">
        <w:trPr>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6</w:t>
            </w:r>
          </w:p>
        </w:tc>
        <w:tc>
          <w:tcPr>
            <w:tcW w:w="2127" w:type="dxa"/>
            <w:vMerge w:val="restart"/>
          </w:tcPr>
          <w:p w:rsidR="001C16AA" w:rsidRPr="00E93FE2"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17" w:type="dxa"/>
            <w:vMerge w:val="restart"/>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Programación de Compras anuales</w:t>
            </w:r>
          </w:p>
        </w:tc>
        <w:tc>
          <w:tcPr>
            <w:tcW w:w="1798" w:type="dxa"/>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programación de compras anuales en base al plan de presupuestos determinado por áreas, dicho plan apoyara a la consolidación de la programación la cual determinara el comprador o asistente asignado y fechas estimadas de compra o contrato.</w:t>
            </w:r>
          </w:p>
        </w:tc>
        <w:tc>
          <w:tcPr>
            <w:tcW w:w="1701" w:type="dxa"/>
            <w:vMerge w:val="restart"/>
            <w:vAlign w:val="center"/>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250964" w:rsidTr="00360F64">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Pr="00E93FE2"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55" w:type="dxa"/>
            <w:vMerge/>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F20F0F" w:rsidTr="00360F64">
        <w:trPr>
          <w:trHeight w:val="586"/>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7</w:t>
            </w:r>
          </w:p>
        </w:tc>
        <w:tc>
          <w:tcPr>
            <w:tcW w:w="2127" w:type="dxa"/>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Clasificación de solicitudes coincidentes con compras históricas</w:t>
            </w:r>
          </w:p>
        </w:tc>
        <w:tc>
          <w:tcPr>
            <w:tcW w:w="1917" w:type="dxa"/>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Programación de Compras Históricas</w:t>
            </w:r>
          </w:p>
        </w:tc>
        <w:tc>
          <w:tcPr>
            <w:tcW w:w="1798" w:type="dxa"/>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 históricas</w:t>
            </w:r>
          </w:p>
        </w:tc>
        <w:tc>
          <w:tcPr>
            <w:tcW w:w="1955" w:type="dxa"/>
          </w:tcPr>
          <w:p w:rsidR="001C16AA" w:rsidRPr="00E93FE2" w:rsidRDefault="001C16AA" w:rsidP="001C16A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programación de compras en base al histórico que ya se tiene, y las actualizaciones de las cantidades de las compras históricas, debido a que es información ya almacenada esta programación ya se asocia a un comprador y a un proveedor determinado.</w:t>
            </w:r>
          </w:p>
        </w:tc>
        <w:tc>
          <w:tcPr>
            <w:tcW w:w="1701" w:type="dxa"/>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250964" w:rsidTr="002D1BAB">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8</w:t>
            </w:r>
          </w:p>
        </w:tc>
        <w:tc>
          <w:tcPr>
            <w:tcW w:w="2127" w:type="dxa"/>
            <w:vMerge w:val="restart"/>
          </w:tcPr>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17" w:type="dxa"/>
            <w:vMerge w:val="restart"/>
          </w:tcPr>
          <w:p w:rsidR="001C16AA" w:rsidRDefault="001C16AA" w:rsidP="000D4AF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Compras extraordinarias</w:t>
            </w:r>
          </w:p>
        </w:tc>
        <w:tc>
          <w:tcPr>
            <w:tcW w:w="1798" w:type="dxa"/>
          </w:tcPr>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Siendo el tipo de solicitud no rutinaria se realiza un proceso de compras extraordinario, donde se analiza la viabilidad de la compra y se realizan un plan específico para estos tipos de compras.</w:t>
            </w:r>
          </w:p>
        </w:tc>
        <w:tc>
          <w:tcPr>
            <w:tcW w:w="1701" w:type="dxa"/>
            <w:vMerge w:val="restart"/>
            <w:vAlign w:val="center"/>
          </w:tcPr>
          <w:p w:rsidR="001C16AA" w:rsidRDefault="001C16AA" w:rsidP="000D4AF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2D1BAB" w:rsidTr="00360F64">
        <w:trPr>
          <w:trHeight w:val="134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tc>
        <w:tc>
          <w:tcPr>
            <w:tcW w:w="1955" w:type="dxa"/>
            <w:vMerge/>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250964" w:rsidTr="0032091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9</w:t>
            </w:r>
          </w:p>
        </w:tc>
        <w:tc>
          <w:tcPr>
            <w:tcW w:w="2127" w:type="dxa"/>
            <w:vMerge w:val="restart"/>
          </w:tcPr>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1C16AA" w:rsidRPr="00E93FE2"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programación</w:t>
            </w:r>
          </w:p>
        </w:tc>
        <w:tc>
          <w:tcPr>
            <w:tcW w:w="1798" w:type="dxa"/>
            <w:tcBorders>
              <w:bottom w:val="single" w:sz="4" w:space="0" w:color="auto"/>
            </w:tcBorders>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Según el tipo de programa, estos son realizados por diferentes </w:t>
            </w:r>
            <w:r>
              <w:rPr>
                <w:rFonts w:asciiTheme="minorHAnsi" w:hAnsiTheme="minorHAnsi" w:cstheme="minorHAnsi"/>
                <w:sz w:val="20"/>
                <w:szCs w:val="20"/>
              </w:rPr>
              <w:lastRenderedPageBreak/>
              <w:t>responsables, es por ello que estos se derivan según el tipo de programación, el programa de contrataciones es necesario para la elaboración del Plan de contratos de maquinarias, equipos y bienes; y el programa de compras es necesario para la elaboración del Plan de compras de productos internos.</w:t>
            </w:r>
          </w:p>
        </w:tc>
        <w:tc>
          <w:tcPr>
            <w:tcW w:w="1701" w:type="dxa"/>
            <w:vMerge w:val="restart"/>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C16AA" w:rsidRPr="00250964" w:rsidTr="007A0D80">
        <w:trPr>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Programa de </w:t>
            </w:r>
            <w:r>
              <w:rPr>
                <w:rFonts w:asciiTheme="minorHAnsi" w:hAnsiTheme="minorHAnsi" w:cstheme="minorHAnsi"/>
                <w:sz w:val="20"/>
                <w:szCs w:val="20"/>
              </w:rPr>
              <w:lastRenderedPageBreak/>
              <w:t>compras</w:t>
            </w:r>
          </w:p>
        </w:tc>
        <w:tc>
          <w:tcPr>
            <w:tcW w:w="1955" w:type="dxa"/>
            <w:vMerge/>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250964" w:rsidTr="00360F64">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tcPr>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327F53"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10</w:t>
            </w:r>
          </w:p>
        </w:tc>
        <w:tc>
          <w:tcPr>
            <w:tcW w:w="2127" w:type="dxa"/>
          </w:tcPr>
          <w:p w:rsidR="001C16AA" w:rsidRPr="00E93FE2"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tc>
        <w:tc>
          <w:tcPr>
            <w:tcW w:w="1917" w:type="dxa"/>
          </w:tcPr>
          <w:p w:rsidR="001C16AA" w:rsidRDefault="001C16AA" w:rsidP="006066A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contratos de maquinarias, equipos y bienes</w:t>
            </w:r>
          </w:p>
        </w:tc>
        <w:tc>
          <w:tcPr>
            <w:tcW w:w="1798" w:type="dxa"/>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tc>
        <w:tc>
          <w:tcPr>
            <w:tcW w:w="1955" w:type="dxa"/>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el plan de contratos de maquinarias, equipos y bienes en base al programa de contrataciones especificado.  Este plan contiene las relaciones entre los contratos programados con las solicitudes de pedido recibidas. (Estas solicitudes de pedido serían del tipo de pedido de servicios)</w:t>
            </w:r>
          </w:p>
        </w:tc>
        <w:tc>
          <w:tcPr>
            <w:tcW w:w="1701" w:type="dxa"/>
            <w:vAlign w:val="center"/>
          </w:tcPr>
          <w:p w:rsidR="001C16AA" w:rsidRDefault="001C16AA"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C16AA"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11</w:t>
            </w:r>
          </w:p>
        </w:tc>
        <w:tc>
          <w:tcPr>
            <w:tcW w:w="2127" w:type="dxa"/>
          </w:tcPr>
          <w:p w:rsidR="001C16AA" w:rsidRPr="00E93FE2"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compras de productos internos</w:t>
            </w:r>
          </w:p>
        </w:tc>
        <w:tc>
          <w:tcPr>
            <w:tcW w:w="1798" w:type="dxa"/>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tc>
        <w:tc>
          <w:tcPr>
            <w:tcW w:w="1955" w:type="dxa"/>
          </w:tcPr>
          <w:p w:rsidR="001C16AA" w:rsidRPr="003D6763" w:rsidRDefault="001C16AA"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Se realiza las compras de productos internos, equipos y bienes en base al programa de contrataciones especificado.  Este plan contiene las relaciones entre Las compras programadas con las solicitudes de pedido recibidas. (Estas solicitudes de pedido serían del tipo de pedido de compras)</w:t>
            </w:r>
          </w:p>
        </w:tc>
        <w:tc>
          <w:tcPr>
            <w:tcW w:w="1701" w:type="dxa"/>
            <w:vAlign w:val="center"/>
          </w:tcPr>
          <w:p w:rsidR="001C16AA" w:rsidRDefault="001C16AA"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F20F0F" w:rsidTr="00F20F0F">
        <w:trPr>
          <w:trHeight w:val="64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12</w:t>
            </w:r>
          </w:p>
        </w:tc>
        <w:tc>
          <w:tcPr>
            <w:tcW w:w="2127" w:type="dxa"/>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C16AA" w:rsidRPr="00E93FE2"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Consolidar planes</w:t>
            </w:r>
          </w:p>
        </w:tc>
        <w:tc>
          <w:tcPr>
            <w:tcW w:w="1798" w:type="dxa"/>
            <w:vMerge w:val="restart"/>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Planes consolidados</w:t>
            </w:r>
          </w:p>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3D6763" w:rsidRDefault="001C16AA" w:rsidP="000A063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Para el proceso de “Gestionar planificación de compras históricas” </w:t>
            </w:r>
            <w:r>
              <w:rPr>
                <w:rFonts w:asciiTheme="minorHAnsi" w:hAnsiTheme="minorHAnsi" w:cstheme="minorHAnsi"/>
                <w:sz w:val="20"/>
                <w:szCs w:val="20"/>
              </w:rPr>
              <w:lastRenderedPageBreak/>
              <w:t xml:space="preserve">se va a necesitar la consolidación de todos los planes realizados hasta el periodo, para poder determinar </w:t>
            </w:r>
            <w:r w:rsidR="000A0631">
              <w:rPr>
                <w:rFonts w:asciiTheme="minorHAnsi" w:hAnsiTheme="minorHAnsi" w:cstheme="minorHAnsi"/>
                <w:sz w:val="20"/>
                <w:szCs w:val="20"/>
              </w:rPr>
              <w:t>que productos se necesitan definir como productos constantes a comprar en una comparación con las compras de periodos anteriores. Para el fin del proceso se necesitará la salida de los cuatro planes elaborados.</w:t>
            </w:r>
          </w:p>
        </w:tc>
        <w:tc>
          <w:tcPr>
            <w:tcW w:w="1701" w:type="dxa"/>
            <w:vMerge w:val="restart"/>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C16AA" w:rsidRPr="00F20F0F" w:rsidTr="00F20F0F">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val="restart"/>
          </w:tcPr>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Plan de contratos de </w:t>
            </w:r>
            <w:r>
              <w:rPr>
                <w:rFonts w:asciiTheme="minorHAnsi" w:hAnsiTheme="minorHAnsi" w:cstheme="minorHAnsi"/>
                <w:sz w:val="20"/>
                <w:szCs w:val="20"/>
              </w:rPr>
              <w:lastRenderedPageBreak/>
              <w:t>maquinarias, equipos y bienes</w:t>
            </w: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3D6763" w:rsidRDefault="001C16AA"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F20F0F" w:rsidTr="00F20F0F">
        <w:trPr>
          <w:trHeight w:val="54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Borders>
              <w:bottom w:val="single" w:sz="4" w:space="0" w:color="auto"/>
            </w:tcBorders>
          </w:tcPr>
          <w:p w:rsidR="001C16AA" w:rsidRDefault="001C16AA" w:rsidP="00F20F0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3D6763" w:rsidRDefault="001C16AA" w:rsidP="00882296">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F20F0F" w:rsidTr="00F20F0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val="restart"/>
          </w:tcPr>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1C16AA" w:rsidRPr="00E93FE2" w:rsidRDefault="001C16AA" w:rsidP="00992B4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tc>
        <w:tc>
          <w:tcPr>
            <w:tcW w:w="1955" w:type="dxa"/>
            <w:vMerge/>
          </w:tcPr>
          <w:p w:rsidR="001C16AA" w:rsidRPr="003D6763" w:rsidRDefault="001C16AA"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F20F0F" w:rsidTr="00F20F0F">
        <w:trPr>
          <w:trHeight w:val="62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Borders>
              <w:bottom w:val="single" w:sz="4" w:space="0" w:color="auto"/>
            </w:tcBorders>
          </w:tcPr>
          <w:p w:rsidR="001C16AA" w:rsidRDefault="001C16AA" w:rsidP="00F20F0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3D6763" w:rsidRDefault="001C16AA" w:rsidP="00882296">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F20F0F" w:rsidTr="00360F6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tcPr>
          <w:p w:rsidR="001C16AA" w:rsidRDefault="001C16AA" w:rsidP="00F20F0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F20F0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3D6763" w:rsidRDefault="001C16AA"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A33573"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13</w:t>
            </w:r>
          </w:p>
        </w:tc>
        <w:tc>
          <w:tcPr>
            <w:tcW w:w="2127" w:type="dxa"/>
          </w:tcPr>
          <w:p w:rsidR="001C16AA"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Planes Consolidados</w:t>
            </w:r>
          </w:p>
        </w:tc>
        <w:tc>
          <w:tcPr>
            <w:tcW w:w="1917" w:type="dxa"/>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Gestionar planificación de compras históricas</w:t>
            </w:r>
          </w:p>
        </w:tc>
        <w:tc>
          <w:tcPr>
            <w:tcW w:w="1798" w:type="dxa"/>
          </w:tcPr>
          <w:p w:rsidR="001C16AA" w:rsidRDefault="000A0631" w:rsidP="000A063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Actualización de planificación de compras históricas.</w:t>
            </w:r>
          </w:p>
        </w:tc>
        <w:tc>
          <w:tcPr>
            <w:tcW w:w="1955" w:type="dxa"/>
          </w:tcPr>
          <w:p w:rsidR="001C16AA" w:rsidRPr="003D6763" w:rsidRDefault="000A0631" w:rsidP="00882296">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los planes elaborados, se encarga de definir cuáles van a ser los productos a comprar de manera constante y fija en próximos periodos. Las cantidades de las compras pueden variar de acuerdo a periodo.</w:t>
            </w:r>
          </w:p>
        </w:tc>
        <w:tc>
          <w:tcPr>
            <w:tcW w:w="1701" w:type="dxa"/>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7B46FB" w:rsidRPr="00250964" w:rsidTr="006066A2">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7B46FB" w:rsidRDefault="007B46FB"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14</w:t>
            </w:r>
          </w:p>
        </w:tc>
        <w:tc>
          <w:tcPr>
            <w:tcW w:w="2127" w:type="dxa"/>
          </w:tcPr>
          <w:p w:rsidR="007B46FB" w:rsidRDefault="007B46FB"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7B46FB" w:rsidRPr="00E93FE2" w:rsidRDefault="007B46FB"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7B46FB" w:rsidRDefault="007B46FB"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tcPr>
          <w:p w:rsidR="007B46FB" w:rsidRPr="00E93FE2" w:rsidRDefault="007B46FB"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7B46FB" w:rsidRPr="003D6763" w:rsidRDefault="007B46FB"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El proceso culmina con la realización de los planes extraordinarios y regulares.</w:t>
            </w:r>
            <w:r>
              <w:rPr>
                <w:rFonts w:asciiTheme="minorHAnsi" w:hAnsiTheme="minorHAnsi" w:cstheme="minorHAnsi"/>
                <w:sz w:val="20"/>
                <w:szCs w:val="20"/>
              </w:rPr>
              <w:t xml:space="preserve"> Además de la actualización de la planificación de compras históricas orientadas a próximos periodos.</w:t>
            </w:r>
          </w:p>
        </w:tc>
        <w:tc>
          <w:tcPr>
            <w:tcW w:w="1701" w:type="dxa"/>
            <w:vMerge w:val="restart"/>
            <w:vAlign w:val="center"/>
          </w:tcPr>
          <w:p w:rsidR="007B46FB" w:rsidRDefault="007B46FB"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7B46FB" w:rsidRPr="00327F53" w:rsidTr="006066A2">
        <w:trPr>
          <w:trHeight w:val="603"/>
        </w:trPr>
        <w:tc>
          <w:tcPr>
            <w:cnfStyle w:val="001000000000" w:firstRow="0" w:lastRow="0" w:firstColumn="1" w:lastColumn="0" w:oddVBand="0" w:evenVBand="0" w:oddHBand="0" w:evenHBand="0" w:firstRowFirstColumn="0" w:firstRowLastColumn="0" w:lastRowFirstColumn="0" w:lastRowLastColumn="0"/>
            <w:tcW w:w="675" w:type="dxa"/>
            <w:vMerge/>
          </w:tcPr>
          <w:p w:rsidR="007B46FB" w:rsidRDefault="007B46FB" w:rsidP="0001699C">
            <w:pPr>
              <w:pStyle w:val="Prrafodelista"/>
              <w:ind w:left="0"/>
              <w:jc w:val="center"/>
              <w:rPr>
                <w:rFonts w:asciiTheme="minorHAnsi" w:hAnsiTheme="minorHAnsi" w:cstheme="minorHAnsi"/>
                <w:sz w:val="20"/>
                <w:szCs w:val="20"/>
                <w:lang w:val="es-PE"/>
              </w:rPr>
            </w:pPr>
          </w:p>
        </w:tc>
        <w:tc>
          <w:tcPr>
            <w:tcW w:w="2127" w:type="dxa"/>
          </w:tcPr>
          <w:p w:rsidR="007B46FB" w:rsidRDefault="007B46FB"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p w:rsidR="007B46FB" w:rsidRDefault="007B46FB"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7B46FB" w:rsidRDefault="007B46FB"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7B46FB" w:rsidRPr="00E93FE2" w:rsidRDefault="007B46FB"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7B46FB" w:rsidRPr="00E93FE2" w:rsidRDefault="007B46FB"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B46FB" w:rsidRDefault="007B46FB"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B46FB" w:rsidRPr="00327F53" w:rsidTr="006066A2">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675" w:type="dxa"/>
            <w:vMerge/>
          </w:tcPr>
          <w:p w:rsidR="007B46FB" w:rsidRDefault="007B46FB" w:rsidP="0001699C">
            <w:pPr>
              <w:pStyle w:val="Prrafodelista"/>
              <w:ind w:left="0"/>
              <w:jc w:val="center"/>
              <w:rPr>
                <w:rFonts w:asciiTheme="minorHAnsi" w:hAnsiTheme="minorHAnsi" w:cstheme="minorHAnsi"/>
                <w:sz w:val="20"/>
                <w:szCs w:val="20"/>
                <w:lang w:val="es-PE"/>
              </w:rPr>
            </w:pPr>
          </w:p>
        </w:tc>
        <w:tc>
          <w:tcPr>
            <w:tcW w:w="2127" w:type="dxa"/>
          </w:tcPr>
          <w:p w:rsidR="007B46FB" w:rsidRDefault="007B46FB"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7B46FB" w:rsidRDefault="007B46FB"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7B46FB" w:rsidRDefault="007B46FB"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7B46FB" w:rsidRPr="00E93FE2" w:rsidRDefault="007B46FB"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7B46FB" w:rsidRPr="00E93FE2" w:rsidRDefault="007B46FB"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B46FB" w:rsidRDefault="007B46FB"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7B46FB" w:rsidRPr="00327F53" w:rsidTr="007B46FB">
        <w:trPr>
          <w:trHeight w:val="704"/>
        </w:trPr>
        <w:tc>
          <w:tcPr>
            <w:cnfStyle w:val="001000000000" w:firstRow="0" w:lastRow="0" w:firstColumn="1" w:lastColumn="0" w:oddVBand="0" w:evenVBand="0" w:oddHBand="0" w:evenHBand="0" w:firstRowFirstColumn="0" w:firstRowLastColumn="0" w:lastRowFirstColumn="0" w:lastRowLastColumn="0"/>
            <w:tcW w:w="675" w:type="dxa"/>
            <w:vMerge/>
          </w:tcPr>
          <w:p w:rsidR="007B46FB" w:rsidRDefault="007B46FB" w:rsidP="0001699C">
            <w:pPr>
              <w:pStyle w:val="Prrafodelista"/>
              <w:ind w:left="0"/>
              <w:jc w:val="center"/>
              <w:rPr>
                <w:rFonts w:asciiTheme="minorHAnsi" w:hAnsiTheme="minorHAnsi" w:cstheme="minorHAnsi"/>
                <w:sz w:val="20"/>
                <w:szCs w:val="20"/>
                <w:lang w:val="es-PE"/>
              </w:rPr>
            </w:pPr>
          </w:p>
        </w:tc>
        <w:tc>
          <w:tcPr>
            <w:tcW w:w="2127" w:type="dxa"/>
          </w:tcPr>
          <w:p w:rsidR="007B46FB" w:rsidRDefault="007B46FB"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p w:rsidR="007B46FB" w:rsidRDefault="007B46FB"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7B46FB" w:rsidRDefault="007B46FB"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7B46FB" w:rsidRPr="00E93FE2" w:rsidRDefault="007B46FB"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7B46FB" w:rsidRPr="00E93FE2" w:rsidRDefault="007B46FB"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B46FB" w:rsidRDefault="007B46FB"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B46FB" w:rsidRPr="00327F53" w:rsidTr="00360F6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675" w:type="dxa"/>
            <w:vMerge/>
          </w:tcPr>
          <w:p w:rsidR="007B46FB" w:rsidRDefault="007B46FB" w:rsidP="0001699C">
            <w:pPr>
              <w:pStyle w:val="Prrafodelista"/>
              <w:ind w:left="0"/>
              <w:jc w:val="center"/>
              <w:rPr>
                <w:rFonts w:asciiTheme="minorHAnsi" w:hAnsiTheme="minorHAnsi" w:cstheme="minorHAnsi"/>
                <w:sz w:val="20"/>
                <w:szCs w:val="20"/>
                <w:lang w:val="es-PE"/>
              </w:rPr>
            </w:pPr>
          </w:p>
        </w:tc>
        <w:tc>
          <w:tcPr>
            <w:tcW w:w="2127" w:type="dxa"/>
          </w:tcPr>
          <w:p w:rsidR="007B46FB" w:rsidRDefault="007B46FB"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Actualización de planificación de compras históricas.</w:t>
            </w:r>
          </w:p>
        </w:tc>
        <w:tc>
          <w:tcPr>
            <w:tcW w:w="1917" w:type="dxa"/>
            <w:vMerge/>
          </w:tcPr>
          <w:p w:rsidR="007B46FB" w:rsidRDefault="007B46FB"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7B46FB" w:rsidRPr="00E93FE2" w:rsidRDefault="007B46FB"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7B46FB" w:rsidRPr="00E93FE2" w:rsidRDefault="007B46FB"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B46FB" w:rsidRDefault="007B46FB"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448AA206" wp14:editId="15768B09">
            <wp:extent cx="6215605" cy="3553428"/>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3">
                      <a:extLst>
                        <a:ext uri="{28A0092B-C50C-407E-A947-70E740481C1C}">
                          <a14:useLocalDpi xmlns:a14="http://schemas.microsoft.com/office/drawing/2010/main" val="0"/>
                        </a:ext>
                      </a:extLst>
                    </a:blip>
                    <a:srcRect b="10290"/>
                    <a:stretch/>
                  </pic:blipFill>
                  <pic:spPr bwMode="auto">
                    <a:xfrm>
                      <a:off x="0" y="0"/>
                      <a:ext cx="6222509" cy="3557375"/>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3" w:name="_Toc292017225"/>
      <w:bookmarkStart w:id="14" w:name="_Toc292018124"/>
      <w:r>
        <w:rPr>
          <w:rFonts w:cstheme="minorHAnsi"/>
          <w:b/>
          <w:sz w:val="18"/>
          <w:szCs w:val="18"/>
          <w:lang w:val="es-PE"/>
        </w:rPr>
        <w:t xml:space="preserve">                                                                                           </w:t>
      </w:r>
      <w:r w:rsidR="00707C54" w:rsidRPr="005F70DC">
        <w:rPr>
          <w:rFonts w:cstheme="minorHAnsi"/>
          <w:b/>
          <w:sz w:val="18"/>
          <w:szCs w:val="18"/>
          <w:lang w:val="es-PE"/>
        </w:rPr>
        <w:t>Elaboración:</w:t>
      </w:r>
      <w:bookmarkEnd w:id="13"/>
      <w:bookmarkEnd w:id="14"/>
      <w:r w:rsidR="002E6BFC" w:rsidRPr="005F70DC">
        <w:rPr>
          <w:rFonts w:cstheme="minorHAnsi"/>
          <w:b/>
          <w:sz w:val="18"/>
          <w:szCs w:val="18"/>
          <w:lang w:val="es-PE"/>
        </w:rPr>
        <w:t xml:space="preserve"> Propia</w:t>
      </w:r>
    </w:p>
    <w:p w:rsidR="002C69CA" w:rsidRDefault="002C69CA" w:rsidP="002C69CA">
      <w:pPr>
        <w:rPr>
          <w:lang w:val="es-PE"/>
        </w:rPr>
      </w:pPr>
      <w:bookmarkStart w:id="15" w:name="_Toc292018125"/>
      <w:bookmarkStart w:id="16" w:name="_GoBack"/>
      <w:bookmarkEnd w:id="16"/>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5"/>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F04F6F">
            <w:pPr>
              <w:pStyle w:val="TableText"/>
              <w:rPr>
                <w:rFonts w:asciiTheme="minorHAnsi" w:hAnsiTheme="minorHAnsi" w:cstheme="minorHAnsi"/>
                <w:lang w:val="es-PE"/>
              </w:rPr>
            </w:pPr>
            <w:r>
              <w:rPr>
                <w:rFonts w:asciiTheme="minorHAnsi" w:hAnsiTheme="minorHAnsi" w:cstheme="minorHAnsi"/>
                <w:lang w:val="es-PE"/>
              </w:rPr>
              <w:t xml:space="preserve">Definición </w:t>
            </w:r>
            <w:r w:rsidR="00F04F6F">
              <w:rPr>
                <w:rFonts w:asciiTheme="minorHAnsi" w:hAnsiTheme="minorHAnsi" w:cstheme="minorHAnsi"/>
                <w:lang w:val="es-PE"/>
              </w:rPr>
              <w:t>del proceso “Planificación de Compras”</w:t>
            </w:r>
          </w:p>
        </w:tc>
        <w:tc>
          <w:tcPr>
            <w:tcW w:w="1260" w:type="dxa"/>
            <w:vAlign w:val="center"/>
          </w:tcPr>
          <w:p w:rsidR="00AB5259" w:rsidRPr="00FD0DF7" w:rsidRDefault="00F04F6F" w:rsidP="00154A05">
            <w:pPr>
              <w:pStyle w:val="TableText"/>
              <w:rPr>
                <w:rFonts w:asciiTheme="minorHAnsi" w:hAnsiTheme="minorHAnsi" w:cstheme="minorHAnsi"/>
                <w:lang w:val="es-PE"/>
              </w:rPr>
            </w:pPr>
            <w:r>
              <w:rPr>
                <w:rFonts w:asciiTheme="minorHAnsi" w:hAnsiTheme="minorHAnsi" w:cstheme="minorHAnsi"/>
                <w:lang w:val="es-PE"/>
              </w:rPr>
              <w:t>28/05/2011</w:t>
            </w:r>
          </w:p>
        </w:tc>
      </w:tr>
      <w:tr w:rsidR="000032C7" w:rsidRPr="000032C7" w:rsidTr="00154A05">
        <w:trPr>
          <w:cantSplit/>
          <w:trHeight w:val="229"/>
        </w:trPr>
        <w:tc>
          <w:tcPr>
            <w:tcW w:w="900" w:type="dxa"/>
            <w:vAlign w:val="center"/>
          </w:tcPr>
          <w:p w:rsidR="000032C7" w:rsidRDefault="000032C7"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0032C7" w:rsidRDefault="000032C7"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w:t>
            </w:r>
            <w:proofErr w:type="spellStart"/>
            <w:r>
              <w:rPr>
                <w:rFonts w:asciiTheme="minorHAnsi" w:hAnsiTheme="minorHAnsi" w:cstheme="minorHAnsi"/>
              </w:rPr>
              <w:t>document</w:t>
            </w:r>
            <w:r w:rsidR="00844A84">
              <w:rPr>
                <w:rFonts w:asciiTheme="minorHAnsi" w:hAnsiTheme="minorHAnsi" w:cstheme="minorHAnsi"/>
              </w:rPr>
              <w:t>o</w:t>
            </w:r>
            <w:proofErr w:type="spellEnd"/>
          </w:p>
        </w:tc>
        <w:tc>
          <w:tcPr>
            <w:tcW w:w="4140" w:type="dxa"/>
            <w:vAlign w:val="center"/>
          </w:tcPr>
          <w:p w:rsidR="000032C7" w:rsidRDefault="000032C7" w:rsidP="00F04F6F">
            <w:pPr>
              <w:pStyle w:val="TableText"/>
              <w:rPr>
                <w:rFonts w:asciiTheme="minorHAnsi" w:hAnsiTheme="minorHAnsi" w:cstheme="minorHAnsi"/>
                <w:lang w:val="es-PE"/>
              </w:rPr>
            </w:pPr>
            <w:r>
              <w:rPr>
                <w:rFonts w:asciiTheme="minorHAnsi" w:hAnsiTheme="minorHAnsi" w:cstheme="minorHAnsi"/>
                <w:lang w:val="es-PE"/>
              </w:rPr>
              <w:t>Actualización del documento en base a indicaciones de QA</w:t>
            </w:r>
            <w:r w:rsidR="00327F53">
              <w:rPr>
                <w:rFonts w:asciiTheme="minorHAnsi" w:hAnsiTheme="minorHAnsi" w:cstheme="minorHAnsi"/>
                <w:lang w:val="es-PE"/>
              </w:rPr>
              <w:t xml:space="preserve"> e indicaciones del cliente de minería</w:t>
            </w:r>
          </w:p>
        </w:tc>
        <w:tc>
          <w:tcPr>
            <w:tcW w:w="1260" w:type="dxa"/>
            <w:vAlign w:val="center"/>
          </w:tcPr>
          <w:p w:rsidR="000032C7" w:rsidRDefault="000032C7" w:rsidP="00154A05">
            <w:pPr>
              <w:pStyle w:val="TableText"/>
              <w:rPr>
                <w:rFonts w:asciiTheme="minorHAnsi" w:hAnsiTheme="minorHAnsi" w:cstheme="minorHAnsi"/>
                <w:lang w:val="es-PE"/>
              </w:rPr>
            </w:pPr>
            <w:r>
              <w:rPr>
                <w:rFonts w:asciiTheme="minorHAnsi" w:hAnsiTheme="minorHAnsi" w:cstheme="minorHAnsi"/>
                <w:lang w:val="es-PE"/>
              </w:rPr>
              <w:t>08/05/2011</w:t>
            </w:r>
          </w:p>
        </w:tc>
      </w:tr>
      <w:bookmarkEnd w:id="7"/>
    </w:tbl>
    <w:p w:rsidR="00D5625C" w:rsidRPr="006F0EAF" w:rsidRDefault="00D5625C" w:rsidP="005B2A6C">
      <w:pPr>
        <w:pStyle w:val="Ttulo1"/>
        <w:rPr>
          <w:lang w:val="es-ES"/>
        </w:rPr>
      </w:pPr>
    </w:p>
    <w:sectPr w:rsidR="00D5625C" w:rsidRPr="006F0EAF" w:rsidSect="00D7078A">
      <w:headerReference w:type="default" r:id="rId14"/>
      <w:footerReference w:type="default" r:id="rId15"/>
      <w:pgSz w:w="12240" w:h="15840"/>
      <w:pgMar w:top="1440" w:right="1183"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FB9" w:rsidRDefault="00932FB9" w:rsidP="00AE7BD7">
      <w:pPr>
        <w:spacing w:after="0" w:line="240" w:lineRule="auto"/>
      </w:pPr>
      <w:r>
        <w:separator/>
      </w:r>
    </w:p>
  </w:endnote>
  <w:endnote w:type="continuationSeparator" w:id="0">
    <w:p w:rsidR="00932FB9" w:rsidRDefault="00932FB9"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543CAC">
            <w:fldChar w:fldCharType="begin"/>
          </w:r>
          <w:r w:rsidR="000316FA">
            <w:instrText xml:space="preserve"> PAGE   \* MERGEFORMAT </w:instrText>
          </w:r>
          <w:r w:rsidR="00543CAC">
            <w:fldChar w:fldCharType="separate"/>
          </w:r>
          <w:r w:rsidR="00B97110">
            <w:rPr>
              <w:noProof/>
            </w:rPr>
            <w:t>9</w:t>
          </w:r>
          <w:r w:rsidR="00543CAC">
            <w:rPr>
              <w:noProof/>
            </w:rPr>
            <w:fldChar w:fldCharType="end"/>
          </w:r>
        </w:p>
      </w:tc>
      <w:tc>
        <w:tcPr>
          <w:tcW w:w="0" w:type="auto"/>
        </w:tcPr>
        <w:p w:rsidR="00AE7BD7" w:rsidRDefault="0070554D">
          <w:pPr>
            <w:pStyle w:val="Piedepgina"/>
            <w:jc w:val="right"/>
          </w:pPr>
          <w:r>
            <w:rPr>
              <w:noProof/>
              <w:lang w:val="es-PE" w:eastAsia="es-PE"/>
            </w:rPr>
            <mc:AlternateContent>
              <mc:Choice Requires="wpg">
                <w:drawing>
                  <wp:inline distT="0" distB="0" distL="0" distR="0" wp14:anchorId="626012A3" wp14:editId="1AB7EE5A">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FB9" w:rsidRDefault="00932FB9" w:rsidP="00AE7BD7">
      <w:pPr>
        <w:spacing w:after="0" w:line="240" w:lineRule="auto"/>
      </w:pPr>
      <w:r>
        <w:separator/>
      </w:r>
    </w:p>
  </w:footnote>
  <w:footnote w:type="continuationSeparator" w:id="0">
    <w:p w:rsidR="00932FB9" w:rsidRDefault="00932FB9"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14:anchorId="760FD179" wp14:editId="57E409FD">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032C7"/>
    <w:rsid w:val="000316FA"/>
    <w:rsid w:val="00047743"/>
    <w:rsid w:val="00053E0E"/>
    <w:rsid w:val="00055170"/>
    <w:rsid w:val="00055714"/>
    <w:rsid w:val="00056DC2"/>
    <w:rsid w:val="000875F3"/>
    <w:rsid w:val="000A0631"/>
    <w:rsid w:val="000A574B"/>
    <w:rsid w:val="000B134C"/>
    <w:rsid w:val="000B4A09"/>
    <w:rsid w:val="000D0248"/>
    <w:rsid w:val="000D54F9"/>
    <w:rsid w:val="000E35F8"/>
    <w:rsid w:val="000E3D0B"/>
    <w:rsid w:val="000E4366"/>
    <w:rsid w:val="000E50B2"/>
    <w:rsid w:val="000F72D0"/>
    <w:rsid w:val="001058A4"/>
    <w:rsid w:val="00114AC8"/>
    <w:rsid w:val="00133F0D"/>
    <w:rsid w:val="00136A37"/>
    <w:rsid w:val="00144B8E"/>
    <w:rsid w:val="00151D31"/>
    <w:rsid w:val="001605FC"/>
    <w:rsid w:val="00164385"/>
    <w:rsid w:val="001652E8"/>
    <w:rsid w:val="0017312A"/>
    <w:rsid w:val="00186926"/>
    <w:rsid w:val="001879C7"/>
    <w:rsid w:val="001A54CA"/>
    <w:rsid w:val="001A6336"/>
    <w:rsid w:val="001A7B34"/>
    <w:rsid w:val="001B0F40"/>
    <w:rsid w:val="001B1FBE"/>
    <w:rsid w:val="001C16AA"/>
    <w:rsid w:val="001D060C"/>
    <w:rsid w:val="001E2567"/>
    <w:rsid w:val="001F2931"/>
    <w:rsid w:val="00206AB1"/>
    <w:rsid w:val="0022190A"/>
    <w:rsid w:val="00233E41"/>
    <w:rsid w:val="00240984"/>
    <w:rsid w:val="00250964"/>
    <w:rsid w:val="00253E98"/>
    <w:rsid w:val="00254836"/>
    <w:rsid w:val="00265607"/>
    <w:rsid w:val="002669B1"/>
    <w:rsid w:val="00274535"/>
    <w:rsid w:val="00286E5E"/>
    <w:rsid w:val="002A1812"/>
    <w:rsid w:val="002A48D4"/>
    <w:rsid w:val="002C4DEC"/>
    <w:rsid w:val="002C4EE5"/>
    <w:rsid w:val="002C69CA"/>
    <w:rsid w:val="002D1BAB"/>
    <w:rsid w:val="002D2332"/>
    <w:rsid w:val="002D43FB"/>
    <w:rsid w:val="002D60F7"/>
    <w:rsid w:val="002E15FA"/>
    <w:rsid w:val="002E6BFC"/>
    <w:rsid w:val="003013D8"/>
    <w:rsid w:val="00320917"/>
    <w:rsid w:val="00325F3B"/>
    <w:rsid w:val="00327F53"/>
    <w:rsid w:val="003376DE"/>
    <w:rsid w:val="00340F9C"/>
    <w:rsid w:val="00341517"/>
    <w:rsid w:val="00350B6A"/>
    <w:rsid w:val="00356A74"/>
    <w:rsid w:val="0036076F"/>
    <w:rsid w:val="003625D5"/>
    <w:rsid w:val="00364B85"/>
    <w:rsid w:val="00385CF9"/>
    <w:rsid w:val="00392D8F"/>
    <w:rsid w:val="003A30DA"/>
    <w:rsid w:val="003A564A"/>
    <w:rsid w:val="003B0F18"/>
    <w:rsid w:val="003C544D"/>
    <w:rsid w:val="003C72A2"/>
    <w:rsid w:val="003D08B8"/>
    <w:rsid w:val="003D48C5"/>
    <w:rsid w:val="003D6763"/>
    <w:rsid w:val="003E226F"/>
    <w:rsid w:val="003F7BDA"/>
    <w:rsid w:val="00403853"/>
    <w:rsid w:val="0040782C"/>
    <w:rsid w:val="004125B2"/>
    <w:rsid w:val="004153D3"/>
    <w:rsid w:val="00422288"/>
    <w:rsid w:val="00433C0B"/>
    <w:rsid w:val="004344EC"/>
    <w:rsid w:val="00462C15"/>
    <w:rsid w:val="00473C6D"/>
    <w:rsid w:val="00475260"/>
    <w:rsid w:val="00475ED6"/>
    <w:rsid w:val="004844E1"/>
    <w:rsid w:val="004A6D82"/>
    <w:rsid w:val="004B05DB"/>
    <w:rsid w:val="004B5E59"/>
    <w:rsid w:val="004B723A"/>
    <w:rsid w:val="004C07E0"/>
    <w:rsid w:val="004C21D8"/>
    <w:rsid w:val="004E2ED2"/>
    <w:rsid w:val="00521B4A"/>
    <w:rsid w:val="005344E7"/>
    <w:rsid w:val="00535213"/>
    <w:rsid w:val="005360A6"/>
    <w:rsid w:val="0054297F"/>
    <w:rsid w:val="00543CAC"/>
    <w:rsid w:val="00556CAD"/>
    <w:rsid w:val="00567687"/>
    <w:rsid w:val="005808C6"/>
    <w:rsid w:val="005B2A6C"/>
    <w:rsid w:val="005C6E13"/>
    <w:rsid w:val="005D3C43"/>
    <w:rsid w:val="005E1B27"/>
    <w:rsid w:val="005E6D6A"/>
    <w:rsid w:val="005F70DC"/>
    <w:rsid w:val="005F72A7"/>
    <w:rsid w:val="006009F8"/>
    <w:rsid w:val="006066A2"/>
    <w:rsid w:val="00614785"/>
    <w:rsid w:val="0062046E"/>
    <w:rsid w:val="00623830"/>
    <w:rsid w:val="00625303"/>
    <w:rsid w:val="00643653"/>
    <w:rsid w:val="006553F0"/>
    <w:rsid w:val="00670FFE"/>
    <w:rsid w:val="00672918"/>
    <w:rsid w:val="00684CED"/>
    <w:rsid w:val="00694E30"/>
    <w:rsid w:val="006972B8"/>
    <w:rsid w:val="006A5EAF"/>
    <w:rsid w:val="006B2A6F"/>
    <w:rsid w:val="006C4E45"/>
    <w:rsid w:val="006D305E"/>
    <w:rsid w:val="006F0B87"/>
    <w:rsid w:val="006F0EAF"/>
    <w:rsid w:val="006F14B0"/>
    <w:rsid w:val="006F2C14"/>
    <w:rsid w:val="006F48BA"/>
    <w:rsid w:val="0070554D"/>
    <w:rsid w:val="00707C54"/>
    <w:rsid w:val="00713852"/>
    <w:rsid w:val="00723E29"/>
    <w:rsid w:val="0074067C"/>
    <w:rsid w:val="00740C9C"/>
    <w:rsid w:val="007512CE"/>
    <w:rsid w:val="007533AE"/>
    <w:rsid w:val="0075358C"/>
    <w:rsid w:val="00753EEE"/>
    <w:rsid w:val="007568F5"/>
    <w:rsid w:val="00770AA5"/>
    <w:rsid w:val="00771C1B"/>
    <w:rsid w:val="00790F95"/>
    <w:rsid w:val="007917CE"/>
    <w:rsid w:val="007A0D80"/>
    <w:rsid w:val="007A1D20"/>
    <w:rsid w:val="007A58A3"/>
    <w:rsid w:val="007B46FB"/>
    <w:rsid w:val="007D36AC"/>
    <w:rsid w:val="007D648B"/>
    <w:rsid w:val="00800EDF"/>
    <w:rsid w:val="008109C0"/>
    <w:rsid w:val="00812A11"/>
    <w:rsid w:val="00812D4A"/>
    <w:rsid w:val="0081348F"/>
    <w:rsid w:val="008165F1"/>
    <w:rsid w:val="00843063"/>
    <w:rsid w:val="00844A84"/>
    <w:rsid w:val="008467DE"/>
    <w:rsid w:val="00847746"/>
    <w:rsid w:val="00874DF4"/>
    <w:rsid w:val="00882296"/>
    <w:rsid w:val="008A4A63"/>
    <w:rsid w:val="008A7863"/>
    <w:rsid w:val="008B5293"/>
    <w:rsid w:val="008C2DB5"/>
    <w:rsid w:val="008D71A2"/>
    <w:rsid w:val="0090323A"/>
    <w:rsid w:val="00910842"/>
    <w:rsid w:val="00912ED4"/>
    <w:rsid w:val="009318AC"/>
    <w:rsid w:val="00932FB9"/>
    <w:rsid w:val="00934F73"/>
    <w:rsid w:val="00950AD7"/>
    <w:rsid w:val="00961810"/>
    <w:rsid w:val="009663A0"/>
    <w:rsid w:val="00967A0B"/>
    <w:rsid w:val="009710C7"/>
    <w:rsid w:val="00996E84"/>
    <w:rsid w:val="009C57EB"/>
    <w:rsid w:val="009C7228"/>
    <w:rsid w:val="009E079A"/>
    <w:rsid w:val="009E4C14"/>
    <w:rsid w:val="009E6933"/>
    <w:rsid w:val="009F4D09"/>
    <w:rsid w:val="00A121AE"/>
    <w:rsid w:val="00A2466F"/>
    <w:rsid w:val="00A33573"/>
    <w:rsid w:val="00A35217"/>
    <w:rsid w:val="00A40087"/>
    <w:rsid w:val="00A41638"/>
    <w:rsid w:val="00A50D74"/>
    <w:rsid w:val="00A51BCF"/>
    <w:rsid w:val="00A67F65"/>
    <w:rsid w:val="00A71970"/>
    <w:rsid w:val="00A800BE"/>
    <w:rsid w:val="00A877ED"/>
    <w:rsid w:val="00AA187F"/>
    <w:rsid w:val="00AA3969"/>
    <w:rsid w:val="00AA460C"/>
    <w:rsid w:val="00AB3BF2"/>
    <w:rsid w:val="00AB5259"/>
    <w:rsid w:val="00AE505A"/>
    <w:rsid w:val="00AE5CD6"/>
    <w:rsid w:val="00AE7BD7"/>
    <w:rsid w:val="00AF3711"/>
    <w:rsid w:val="00B32588"/>
    <w:rsid w:val="00B35D35"/>
    <w:rsid w:val="00B42F07"/>
    <w:rsid w:val="00B50354"/>
    <w:rsid w:val="00B54FF1"/>
    <w:rsid w:val="00B5549F"/>
    <w:rsid w:val="00B55979"/>
    <w:rsid w:val="00B566EE"/>
    <w:rsid w:val="00B645EA"/>
    <w:rsid w:val="00B71F22"/>
    <w:rsid w:val="00B74DD0"/>
    <w:rsid w:val="00B97110"/>
    <w:rsid w:val="00BC63BB"/>
    <w:rsid w:val="00BE71AF"/>
    <w:rsid w:val="00C15EC2"/>
    <w:rsid w:val="00C17193"/>
    <w:rsid w:val="00C26B9A"/>
    <w:rsid w:val="00C764D0"/>
    <w:rsid w:val="00C90EB7"/>
    <w:rsid w:val="00C94583"/>
    <w:rsid w:val="00C96525"/>
    <w:rsid w:val="00CA7F2C"/>
    <w:rsid w:val="00CC3C37"/>
    <w:rsid w:val="00CC4FF7"/>
    <w:rsid w:val="00CD02AE"/>
    <w:rsid w:val="00CE13D6"/>
    <w:rsid w:val="00CE16E7"/>
    <w:rsid w:val="00CE687F"/>
    <w:rsid w:val="00CE7F17"/>
    <w:rsid w:val="00CF0A43"/>
    <w:rsid w:val="00CF13D2"/>
    <w:rsid w:val="00D148B2"/>
    <w:rsid w:val="00D16129"/>
    <w:rsid w:val="00D2670A"/>
    <w:rsid w:val="00D3426F"/>
    <w:rsid w:val="00D4597D"/>
    <w:rsid w:val="00D51A42"/>
    <w:rsid w:val="00D5625C"/>
    <w:rsid w:val="00D63BF6"/>
    <w:rsid w:val="00D644CB"/>
    <w:rsid w:val="00D647A7"/>
    <w:rsid w:val="00D7078A"/>
    <w:rsid w:val="00D74D0B"/>
    <w:rsid w:val="00D75B1F"/>
    <w:rsid w:val="00D84473"/>
    <w:rsid w:val="00D85CA7"/>
    <w:rsid w:val="00D91A35"/>
    <w:rsid w:val="00DA3131"/>
    <w:rsid w:val="00DB046D"/>
    <w:rsid w:val="00DB157D"/>
    <w:rsid w:val="00DC4850"/>
    <w:rsid w:val="00DC587C"/>
    <w:rsid w:val="00DC6C70"/>
    <w:rsid w:val="00DD2B2B"/>
    <w:rsid w:val="00DE10E4"/>
    <w:rsid w:val="00DF06BF"/>
    <w:rsid w:val="00E11BA4"/>
    <w:rsid w:val="00E15566"/>
    <w:rsid w:val="00E23886"/>
    <w:rsid w:val="00E25FDC"/>
    <w:rsid w:val="00E34069"/>
    <w:rsid w:val="00E43E81"/>
    <w:rsid w:val="00E444F3"/>
    <w:rsid w:val="00E46803"/>
    <w:rsid w:val="00E55CA7"/>
    <w:rsid w:val="00E6094F"/>
    <w:rsid w:val="00E706CF"/>
    <w:rsid w:val="00E864DD"/>
    <w:rsid w:val="00E93FE2"/>
    <w:rsid w:val="00E944E4"/>
    <w:rsid w:val="00EC694D"/>
    <w:rsid w:val="00ED738B"/>
    <w:rsid w:val="00F0110D"/>
    <w:rsid w:val="00F02D50"/>
    <w:rsid w:val="00F04DBC"/>
    <w:rsid w:val="00F04F6F"/>
    <w:rsid w:val="00F20F0F"/>
    <w:rsid w:val="00F2257C"/>
    <w:rsid w:val="00F24489"/>
    <w:rsid w:val="00F352D6"/>
    <w:rsid w:val="00F52ABB"/>
    <w:rsid w:val="00F533C0"/>
    <w:rsid w:val="00F74081"/>
    <w:rsid w:val="00F831EC"/>
    <w:rsid w:val="00F850A2"/>
    <w:rsid w:val="00F861C9"/>
    <w:rsid w:val="00F87D18"/>
    <w:rsid w:val="00FB3650"/>
    <w:rsid w:val="00FB502B"/>
    <w:rsid w:val="00FB52E1"/>
    <w:rsid w:val="00FC5A18"/>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4476D-F4D2-4894-BB2C-6ECFB7C3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1693</Words>
  <Characters>9312</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                                                                     Definición de Procesos:                   Planificación de Compras</dc:subject>
  <dc:creator>Kaya Pamela Marina Cortegana</dc:creator>
  <cp:lastModifiedBy>MARTIN</cp:lastModifiedBy>
  <cp:revision>89</cp:revision>
  <dcterms:created xsi:type="dcterms:W3CDTF">2011-05-25T22:22:00Z</dcterms:created>
  <dcterms:modified xsi:type="dcterms:W3CDTF">2011-06-12T06:35:00Z</dcterms:modified>
</cp:coreProperties>
</file>