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631112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Análisis y Diseño de la Arquitectura de Procesos para la Pequeña </w:t>
                                        </w:r>
                                        <w:r w:rsidR="002C4DEC"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Minería:</w:t>
                                        </w:r>
                                        <w:r w:rsidR="002C4DE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  <w:r w:rsidR="002B0A6E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Proceso de </w:t>
                                        </w:r>
                                        <w:r w:rsidR="001D42A9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Recepción de productos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2A48D4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Definición de Procesos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955DEC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y Diseño de la Arquitectura de Procesos para la Pequeña </w:t>
                                  </w:r>
                                  <w:r w:rsidR="002C4DEC"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Minería:</w:t>
                                  </w:r>
                                  <w:r w:rsidR="002C4DE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  <w:r w:rsidR="002B0A6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Proceso de </w:t>
                                  </w:r>
                                  <w:r w:rsidR="001D42A9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Recepción de productos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2A48D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Definición de Procesos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955DE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715310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3C7669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 w:rsidR="00715310">
          <w:rPr>
            <w:noProof/>
            <w:webHidden/>
          </w:rPr>
          <w:fldChar w:fldCharType="end"/>
        </w:r>
      </w:hyperlink>
    </w:p>
    <w:p w:rsidR="006F0EAF" w:rsidRDefault="00715310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El propósito es definir todas las actividades que conforman el proceso de Gestión de compras. Este proceso cubre actividades </w:t>
      </w:r>
      <w:proofErr w:type="gramStart"/>
      <w:r w:rsidR="00E53BA9">
        <w:rPr>
          <w:rFonts w:eastAsia="Calibri" w:cstheme="minorHAnsi"/>
          <w:lang w:val="es-ES"/>
        </w:rPr>
        <w:t xml:space="preserve">desde </w:t>
      </w:r>
      <w:r w:rsidR="00571E71">
        <w:rPr>
          <w:rFonts w:eastAsia="Calibri" w:cstheme="minorHAnsi"/>
          <w:lang w:val="es-ES"/>
        </w:rPr>
        <w:t>…</w:t>
      </w:r>
      <w:proofErr w:type="gramEnd"/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 El proceso se inicia </w:t>
      </w:r>
      <w:r w:rsidR="00872902">
        <w:rPr>
          <w:rFonts w:eastAsia="Calibri" w:cstheme="minorHAnsi"/>
          <w:lang w:val="es-ES"/>
        </w:rPr>
        <w:t>c</w:t>
      </w:r>
      <w:r w:rsidR="00E53BA9">
        <w:rPr>
          <w:rFonts w:eastAsia="Calibri" w:cstheme="minorHAnsi"/>
          <w:lang w:val="es-ES"/>
        </w:rPr>
        <w:t>on la asignación de asistentes por compra,</w:t>
      </w:r>
      <w:r w:rsidR="00872902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a esta asignación se realiza en base al plan de compras de productos internos. Dado esto, se realiza la selección de los posibles proveedores que se asocian a la compra, luego se </w:t>
      </w:r>
      <w:r w:rsidR="00872902">
        <w:rPr>
          <w:rFonts w:eastAsia="Calibri" w:cstheme="minorHAnsi"/>
          <w:lang w:val="es-ES"/>
        </w:rPr>
        <w:t>define el tipo de información que será registrada en la orden de compra.  Posteriormente de realizada la selección de proveedores, se registrarán y/o actualizarán los proveedores, de esta forma tener un seguimiento de los proveedores que se manejen bajo esta modalidad. Una vez identificada la información que se añadirá a la orden de compra, se procede a la elaboración de la misma, la cual debe pasar por la aprobación del jefe de compras, de esta forma verificar que las compras realizadas sean las adecuadas.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1D42A9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830D58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almacenes e inventarios</w:t>
            </w:r>
          </w:p>
        </w:tc>
        <w:tc>
          <w:tcPr>
            <w:tcW w:w="2770" w:type="dxa"/>
          </w:tcPr>
          <w:p w:rsidR="00460909" w:rsidRPr="00707C54" w:rsidRDefault="00460909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14B0" w:rsidRPr="001D42A9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830D58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  <w:tc>
          <w:tcPr>
            <w:tcW w:w="2770" w:type="dxa"/>
          </w:tcPr>
          <w:p w:rsidR="00DF57DD" w:rsidRPr="00707C54" w:rsidRDefault="00DF57D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proofErr w:type="spellStart"/>
      <w:r>
        <w:rPr>
          <w:rFonts w:asciiTheme="minorHAnsi" w:hAnsiTheme="minorHAnsi" w:cstheme="minorHAnsi"/>
          <w:lang w:val="es-PE"/>
        </w:rPr>
        <w:t>Stakeholders</w:t>
      </w:r>
      <w:bookmarkEnd w:id="8"/>
      <w:proofErr w:type="spellEnd"/>
    </w:p>
    <w:tbl>
      <w:tblPr>
        <w:tblW w:w="8314" w:type="dxa"/>
        <w:jc w:val="center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6"/>
        <w:gridCol w:w="4138"/>
      </w:tblGrid>
      <w:tr w:rsidR="00571E71" w:rsidRPr="000B53BB" w:rsidTr="00E74A63">
        <w:trPr>
          <w:trHeight w:val="299"/>
          <w:jc w:val="center"/>
        </w:trPr>
        <w:tc>
          <w:tcPr>
            <w:tcW w:w="4176" w:type="dxa"/>
            <w:shd w:val="clear" w:color="auto" w:fill="002060"/>
          </w:tcPr>
          <w:p w:rsidR="00571E71" w:rsidRPr="000B53BB" w:rsidRDefault="00571E71" w:rsidP="00E74A63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B53BB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4138" w:type="dxa"/>
            <w:shd w:val="clear" w:color="auto" w:fill="002060"/>
          </w:tcPr>
          <w:p w:rsidR="00571E71" w:rsidRPr="000B53BB" w:rsidRDefault="00571E71" w:rsidP="00E74A63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0B53BB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571E71" w:rsidRPr="004A3627" w:rsidTr="00E74A63">
        <w:trPr>
          <w:trHeight w:val="284"/>
          <w:jc w:val="center"/>
        </w:trPr>
        <w:tc>
          <w:tcPr>
            <w:tcW w:w="4176" w:type="dxa"/>
          </w:tcPr>
          <w:p w:rsidR="00571E71" w:rsidRPr="000B53BB" w:rsidRDefault="00571E71" w:rsidP="00E74A63">
            <w:pPr>
              <w:pStyle w:val="Prrafodelista"/>
              <w:ind w:left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Gerencia de Contabilidad</w:t>
            </w:r>
          </w:p>
        </w:tc>
        <w:tc>
          <w:tcPr>
            <w:tcW w:w="4138" w:type="dxa"/>
          </w:tcPr>
          <w:p w:rsidR="00571E71" w:rsidRPr="000B53BB" w:rsidRDefault="00571E71" w:rsidP="00E74A63">
            <w:pPr>
              <w:pStyle w:val="Prrafodelista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1D42A9" w:rsidRDefault="001D42A9" w:rsidP="001D42A9">
      <w:pPr>
        <w:rPr>
          <w:lang w:val="es-PE"/>
        </w:rPr>
      </w:pPr>
    </w:p>
    <w:p w:rsidR="001D42A9" w:rsidRPr="001D42A9" w:rsidRDefault="001D42A9" w:rsidP="001D42A9">
      <w:pPr>
        <w:rPr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DF57DD" w:rsidRPr="00056DC2" w:rsidTr="00A3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Pr="00E93FE2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DF57DD" w:rsidRDefault="00DF57DD" w:rsidP="00DF57D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DF57DD" w:rsidRDefault="00DF57DD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F57DD" w:rsidRPr="00DF57DD" w:rsidTr="00A3783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Pr="00E93FE2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DF57DD" w:rsidRDefault="00DF57DD" w:rsidP="00055170">
            <w:pPr>
              <w:pStyle w:val="Prrafodelista"/>
              <w:tabs>
                <w:tab w:val="left" w:pos="3079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DF57DD" w:rsidRDefault="00DF57DD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F57DD" w:rsidRPr="00DF57DD" w:rsidTr="00A3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DF57DD" w:rsidRDefault="00DF57DD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DF57DD" w:rsidRDefault="00DF57DD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5B2A6C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3544" w:type="dxa"/>
          </w:tcPr>
          <w:p w:rsidR="00E93FE2" w:rsidRPr="00707C54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E93FE2" w:rsidRPr="00707C54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1638" w:rsidRPr="00B959F4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A41638" w:rsidRDefault="00A41638" w:rsidP="0037776F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544" w:type="dxa"/>
          </w:tcPr>
          <w:p w:rsidR="00A41638" w:rsidRDefault="00A41638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A41638" w:rsidRDefault="00A4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529"/>
        <w:gridCol w:w="2127"/>
      </w:tblGrid>
      <w:tr w:rsidR="00707C54" w:rsidRPr="00E93FE2" w:rsidTr="00C9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529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4B3C16" w:rsidRPr="001D42A9" w:rsidTr="004B3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:rsidR="004B3C16" w:rsidRDefault="004B3C16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17" w:type="dxa"/>
            <w:vMerge w:val="restart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4B3C16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  <w:p w:rsidR="004B3C16" w:rsidRPr="00E93FE2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 w:val="restart"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B3C16" w:rsidRPr="00E93FE2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4B3C16" w:rsidRPr="001D42A9" w:rsidTr="004B3C1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4B3C16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Guía de Remisión</w:t>
            </w:r>
          </w:p>
          <w:p w:rsidR="004B3C16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16" w:rsidRPr="001D42A9" w:rsidTr="004B3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4B3C16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Factura </w:t>
            </w:r>
          </w:p>
        </w:tc>
        <w:tc>
          <w:tcPr>
            <w:tcW w:w="1529" w:type="dxa"/>
            <w:vMerge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16" w:rsidRPr="001D42A9" w:rsidTr="00C96BA1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4B3C16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B3C16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</w:t>
            </w:r>
          </w:p>
        </w:tc>
        <w:tc>
          <w:tcPr>
            <w:tcW w:w="1529" w:type="dxa"/>
            <w:vMerge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16" w:rsidRPr="001D42A9" w:rsidTr="004B3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:rsidR="004B3C16" w:rsidRDefault="004B3C16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  <w:vMerge w:val="restart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Inspeccionar mercadería</w:t>
            </w:r>
          </w:p>
        </w:tc>
        <w:tc>
          <w:tcPr>
            <w:tcW w:w="1798" w:type="dxa"/>
            <w:vMerge w:val="restart"/>
            <w:vAlign w:val="center"/>
          </w:tcPr>
          <w:p w:rsidR="004B3C16" w:rsidRPr="00E93FE2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 inspección de mercadería</w:t>
            </w:r>
          </w:p>
        </w:tc>
        <w:tc>
          <w:tcPr>
            <w:tcW w:w="1529" w:type="dxa"/>
            <w:vMerge w:val="restart"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B3C16" w:rsidRPr="00E93FE2" w:rsidRDefault="004B3C16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4B3C16" w:rsidRPr="001D42A9" w:rsidTr="004B3C16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B3C16" w:rsidRDefault="004B3C16" w:rsidP="004B3C1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Guía de Remisión</w:t>
            </w:r>
          </w:p>
          <w:p w:rsidR="004B3C16" w:rsidRDefault="004B3C16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4B3C16" w:rsidRPr="00E93FE2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16" w:rsidRPr="001D42A9" w:rsidTr="004B3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B3C16" w:rsidRDefault="004B3C16" w:rsidP="00D44F2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Factura </w:t>
            </w:r>
          </w:p>
        </w:tc>
        <w:tc>
          <w:tcPr>
            <w:tcW w:w="1917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4B3C16" w:rsidRPr="00E93FE2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16" w:rsidRPr="001D42A9" w:rsidTr="00C96BA1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B3C16" w:rsidRDefault="004B3C16" w:rsidP="00011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B3C16" w:rsidRDefault="004B3C16" w:rsidP="00011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</w:t>
            </w:r>
          </w:p>
        </w:tc>
        <w:tc>
          <w:tcPr>
            <w:tcW w:w="1917" w:type="dxa"/>
            <w:vMerge/>
            <w:vAlign w:val="center"/>
          </w:tcPr>
          <w:p w:rsidR="004B3C16" w:rsidRDefault="004B3C16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4B3C16" w:rsidRPr="00E93FE2" w:rsidRDefault="004B3C16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4B3C16" w:rsidRDefault="004B3C16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C2856" w:rsidRPr="001D42A9" w:rsidTr="004B3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DC2856" w:rsidRPr="00E93FE2" w:rsidRDefault="00DC285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Merge w:val="restart"/>
            <w:vAlign w:val="center"/>
          </w:tcPr>
          <w:p w:rsidR="00DC2856" w:rsidRDefault="00DC2856" w:rsidP="00155F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 inspección de mercadería</w:t>
            </w:r>
          </w:p>
          <w:p w:rsidR="00DC2856" w:rsidRDefault="00DC2856" w:rsidP="00155F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C2856" w:rsidRDefault="00DC2856" w:rsidP="00155F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C2856" w:rsidRPr="00E93FE2" w:rsidRDefault="00DC2856" w:rsidP="00155F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DC2856" w:rsidRPr="00E93FE2" w:rsidRDefault="00DC2856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resultado</w:t>
            </w:r>
          </w:p>
        </w:tc>
        <w:tc>
          <w:tcPr>
            <w:tcW w:w="1798" w:type="dxa"/>
            <w:vAlign w:val="center"/>
          </w:tcPr>
          <w:p w:rsidR="00DC2856" w:rsidRDefault="00DC285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C2856" w:rsidRPr="00E93FE2" w:rsidRDefault="00DC2856" w:rsidP="004B3C1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</w:t>
            </w:r>
          </w:p>
        </w:tc>
        <w:tc>
          <w:tcPr>
            <w:tcW w:w="1529" w:type="dxa"/>
            <w:vMerge w:val="restart"/>
            <w:vAlign w:val="center"/>
          </w:tcPr>
          <w:p w:rsidR="00DC2856" w:rsidRPr="00E93FE2" w:rsidRDefault="00DC2856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2856" w:rsidRPr="00E93FE2" w:rsidRDefault="00DC2856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DC2856" w:rsidRPr="001D42A9" w:rsidTr="00DC285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DC2856" w:rsidRDefault="00DC285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DC2856" w:rsidRDefault="00DC2856" w:rsidP="00155F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DC2856" w:rsidRDefault="00DC2856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DC2856" w:rsidRDefault="00DC2856" w:rsidP="004B3C1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conforme</w:t>
            </w:r>
          </w:p>
        </w:tc>
        <w:tc>
          <w:tcPr>
            <w:tcW w:w="1529" w:type="dxa"/>
            <w:vMerge/>
            <w:vAlign w:val="center"/>
          </w:tcPr>
          <w:p w:rsidR="00DC2856" w:rsidRPr="00E93FE2" w:rsidRDefault="00DC2856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DC2856" w:rsidRDefault="00DC2856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C2856" w:rsidRPr="001D42A9" w:rsidTr="00DC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DC2856" w:rsidRDefault="00DC285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DC2856" w:rsidRDefault="00DC2856" w:rsidP="00155F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Guía de Remisión</w:t>
            </w:r>
          </w:p>
        </w:tc>
        <w:tc>
          <w:tcPr>
            <w:tcW w:w="1917" w:type="dxa"/>
            <w:vMerge/>
            <w:vAlign w:val="center"/>
          </w:tcPr>
          <w:p w:rsidR="00DC2856" w:rsidRDefault="00DC2856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DC2856" w:rsidRDefault="00DC2856" w:rsidP="004B3C1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DC2856" w:rsidRPr="00E93FE2" w:rsidRDefault="00DC2856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DC2856" w:rsidRDefault="00DC2856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C2856" w:rsidRPr="001D42A9" w:rsidTr="00C96BA1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DC2856" w:rsidRDefault="00DC285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DC2856" w:rsidRDefault="00DC2856" w:rsidP="00155F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  <w:bookmarkStart w:id="12" w:name="_GoBack"/>
            <w:bookmarkEnd w:id="12"/>
          </w:p>
        </w:tc>
        <w:tc>
          <w:tcPr>
            <w:tcW w:w="1917" w:type="dxa"/>
            <w:vMerge/>
            <w:vAlign w:val="center"/>
          </w:tcPr>
          <w:p w:rsidR="00DC2856" w:rsidRDefault="00DC2856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DC2856" w:rsidRDefault="00DC2856" w:rsidP="004B3C1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DC2856" w:rsidRPr="00E93FE2" w:rsidRDefault="00DC2856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DC2856" w:rsidRDefault="00DC2856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16" w:rsidRPr="001D42A9" w:rsidTr="00C9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4B3C16" w:rsidRDefault="00E2170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conforme</w:t>
            </w:r>
          </w:p>
        </w:tc>
        <w:tc>
          <w:tcPr>
            <w:tcW w:w="1917" w:type="dxa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Gestionar devoluciones</w:t>
            </w:r>
          </w:p>
        </w:tc>
        <w:tc>
          <w:tcPr>
            <w:tcW w:w="1798" w:type="dxa"/>
            <w:vAlign w:val="center"/>
          </w:tcPr>
          <w:p w:rsidR="004B3C16" w:rsidRPr="00E93FE2" w:rsidRDefault="004B3C16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B3C16" w:rsidRPr="00E93FE2" w:rsidRDefault="004B3C16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A878A9" w:rsidRPr="001D42A9" w:rsidTr="00A878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878A9" w:rsidRPr="00E93FE2" w:rsidRDefault="00A878A9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127" w:type="dxa"/>
            <w:vMerge w:val="restart"/>
            <w:vAlign w:val="center"/>
          </w:tcPr>
          <w:p w:rsidR="00A878A9" w:rsidRDefault="00A878A9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A878A9" w:rsidRPr="00E93FE2" w:rsidRDefault="00A878A9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devolución total</w:t>
            </w:r>
          </w:p>
        </w:tc>
        <w:tc>
          <w:tcPr>
            <w:tcW w:w="1798" w:type="dxa"/>
            <w:vAlign w:val="center"/>
          </w:tcPr>
          <w:p w:rsidR="00A878A9" w:rsidRDefault="00A878A9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Devolución total</w:t>
            </w:r>
          </w:p>
          <w:p w:rsidR="00A878A9" w:rsidRPr="00E93FE2" w:rsidRDefault="00A878A9" w:rsidP="00A878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 w:val="restart"/>
            <w:vAlign w:val="center"/>
          </w:tcPr>
          <w:p w:rsidR="00A878A9" w:rsidRPr="00E93FE2" w:rsidRDefault="00A878A9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A878A9" w:rsidRPr="00E93FE2" w:rsidRDefault="00A878A9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A878A9" w:rsidRPr="001D42A9" w:rsidTr="00C9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A878A9" w:rsidRDefault="00A878A9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A878A9" w:rsidRDefault="00A878A9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A878A9" w:rsidRDefault="00A878A9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A878A9" w:rsidRDefault="00A878A9" w:rsidP="00A878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A878A9" w:rsidRPr="00E93FE2" w:rsidRDefault="00A878A9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A878A9" w:rsidRDefault="00A878A9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878A9" w:rsidRPr="001D42A9" w:rsidTr="00A878A9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878A9" w:rsidRPr="00E93FE2" w:rsidRDefault="00A878A9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:rsidR="00A878A9" w:rsidRDefault="00A878A9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</w:t>
            </w:r>
          </w:p>
          <w:p w:rsidR="00A878A9" w:rsidRDefault="00A878A9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A878A9" w:rsidRPr="00E93FE2" w:rsidRDefault="00A878A9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Recibir factura</w:t>
            </w:r>
          </w:p>
        </w:tc>
        <w:tc>
          <w:tcPr>
            <w:tcW w:w="1798" w:type="dxa"/>
            <w:vMerge w:val="restart"/>
            <w:vAlign w:val="center"/>
          </w:tcPr>
          <w:p w:rsidR="00A878A9" w:rsidRPr="00E93FE2" w:rsidRDefault="00BC4FF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1529" w:type="dxa"/>
            <w:vMerge w:val="restart"/>
            <w:vAlign w:val="center"/>
          </w:tcPr>
          <w:p w:rsidR="00A878A9" w:rsidRPr="00E93FE2" w:rsidRDefault="00A878A9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A878A9" w:rsidRPr="00E93FE2" w:rsidRDefault="00A878A9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A878A9" w:rsidRPr="001D42A9" w:rsidTr="00C9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A878A9" w:rsidRDefault="00A878A9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878A9" w:rsidRDefault="00A878A9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A878A9" w:rsidRDefault="00A878A9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A878A9" w:rsidRPr="00E93FE2" w:rsidRDefault="00A878A9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A878A9" w:rsidRPr="00E93FE2" w:rsidRDefault="00A878A9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A878A9" w:rsidRDefault="00A878A9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16" w:rsidRPr="001D42A9" w:rsidTr="00C96BA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:rsidR="004B3C16" w:rsidRDefault="00BC4FF1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1917" w:type="dxa"/>
            <w:vAlign w:val="center"/>
          </w:tcPr>
          <w:p w:rsidR="004B3C16" w:rsidRPr="00E93FE2" w:rsidRDefault="004B3C16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Enviar factura</w:t>
            </w:r>
          </w:p>
        </w:tc>
        <w:tc>
          <w:tcPr>
            <w:tcW w:w="1798" w:type="dxa"/>
            <w:vAlign w:val="center"/>
          </w:tcPr>
          <w:p w:rsidR="004B3C16" w:rsidRPr="00E93FE2" w:rsidRDefault="00BC4FF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 enviada</w:t>
            </w:r>
          </w:p>
        </w:tc>
        <w:tc>
          <w:tcPr>
            <w:tcW w:w="1529" w:type="dxa"/>
            <w:vAlign w:val="center"/>
          </w:tcPr>
          <w:p w:rsidR="004B3C16" w:rsidRPr="00E93FE2" w:rsidRDefault="004B3C16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B3C16" w:rsidRPr="00E93FE2" w:rsidRDefault="004B3C16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BC4FF1" w:rsidRPr="001D42A9" w:rsidTr="00C9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:rsidR="00BC4FF1" w:rsidRPr="00E93FE2" w:rsidRDefault="00BC4FF1" w:rsidP="0061034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 enviada</w:t>
            </w:r>
          </w:p>
        </w:tc>
        <w:tc>
          <w:tcPr>
            <w:tcW w:w="1917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Cuentas por Pagar</w:t>
            </w:r>
          </w:p>
        </w:tc>
        <w:tc>
          <w:tcPr>
            <w:tcW w:w="1798" w:type="dxa"/>
            <w:vAlign w:val="center"/>
          </w:tcPr>
          <w:p w:rsidR="00BC4FF1" w:rsidRPr="00E93FE2" w:rsidRDefault="00BC4FF1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 pagada</w:t>
            </w:r>
          </w:p>
        </w:tc>
        <w:tc>
          <w:tcPr>
            <w:tcW w:w="1529" w:type="dxa"/>
            <w:vAlign w:val="center"/>
          </w:tcPr>
          <w:p w:rsidR="00BC4FF1" w:rsidRPr="00E93FE2" w:rsidRDefault="00BC4FF1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C4FF1" w:rsidRPr="00E93FE2" w:rsidRDefault="00BC4FF1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Gerencia de Contabilidad</w:t>
            </w:r>
          </w:p>
        </w:tc>
      </w:tr>
      <w:tr w:rsidR="00BC4FF1" w:rsidRPr="001D42A9" w:rsidTr="00C96BA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2127" w:type="dxa"/>
            <w:vAlign w:val="center"/>
          </w:tcPr>
          <w:p w:rsidR="00BC4FF1" w:rsidRDefault="00BC4FF1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Registrar productos entrantes</w:t>
            </w:r>
          </w:p>
        </w:tc>
        <w:tc>
          <w:tcPr>
            <w:tcW w:w="1798" w:type="dxa"/>
            <w:vAlign w:val="center"/>
          </w:tcPr>
          <w:p w:rsidR="00BC4FF1" w:rsidRPr="00E93FE2" w:rsidRDefault="00BC4FF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BC4FF1" w:rsidRPr="00E93FE2" w:rsidRDefault="00BC4FF1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C4FF1" w:rsidRPr="00E93FE2" w:rsidRDefault="00BC4FF1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BC4FF1" w:rsidRPr="001D42A9" w:rsidTr="00C9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127" w:type="dxa"/>
            <w:vAlign w:val="center"/>
          </w:tcPr>
          <w:p w:rsidR="00BC4FF1" w:rsidRDefault="00BC4FF1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Elaborar reporte de entradas</w:t>
            </w:r>
          </w:p>
        </w:tc>
        <w:tc>
          <w:tcPr>
            <w:tcW w:w="1798" w:type="dxa"/>
            <w:vAlign w:val="center"/>
          </w:tcPr>
          <w:p w:rsidR="00BC4FF1" w:rsidRPr="00E93FE2" w:rsidRDefault="00BC4FF1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BC4FF1" w:rsidRPr="00E93FE2" w:rsidRDefault="00BC4FF1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C4FF1" w:rsidRPr="00E93FE2" w:rsidRDefault="00BC4FF1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BC4FF1" w:rsidRPr="001D42A9" w:rsidTr="00C96BA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127" w:type="dxa"/>
            <w:vAlign w:val="center"/>
          </w:tcPr>
          <w:p w:rsidR="00BC4FF1" w:rsidRDefault="00BC4FF1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Enviar reporte de entradas</w:t>
            </w:r>
          </w:p>
        </w:tc>
        <w:tc>
          <w:tcPr>
            <w:tcW w:w="1798" w:type="dxa"/>
            <w:vAlign w:val="center"/>
          </w:tcPr>
          <w:p w:rsidR="00BC4FF1" w:rsidRPr="00E93FE2" w:rsidRDefault="00BC4FF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BC4FF1" w:rsidRPr="00E93FE2" w:rsidRDefault="00BC4FF1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C4FF1" w:rsidRPr="00E93FE2" w:rsidRDefault="00BC4FF1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Almacén</w:t>
            </w:r>
          </w:p>
        </w:tc>
      </w:tr>
      <w:tr w:rsidR="00BC4FF1" w:rsidRPr="001D42A9" w:rsidTr="00C9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127" w:type="dxa"/>
            <w:vAlign w:val="center"/>
          </w:tcPr>
          <w:p w:rsidR="00BC4FF1" w:rsidRDefault="00BC4FF1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Recepción de reporte de entradas</w:t>
            </w:r>
          </w:p>
        </w:tc>
        <w:tc>
          <w:tcPr>
            <w:tcW w:w="1798" w:type="dxa"/>
            <w:vAlign w:val="center"/>
          </w:tcPr>
          <w:p w:rsidR="00BC4FF1" w:rsidRPr="00E93FE2" w:rsidRDefault="00BC4FF1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BC4FF1" w:rsidRPr="00E93FE2" w:rsidRDefault="00BC4FF1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C4FF1" w:rsidRPr="00E93FE2" w:rsidRDefault="00BC4FF1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almacenes e inventarios</w:t>
            </w:r>
          </w:p>
        </w:tc>
      </w:tr>
      <w:tr w:rsidR="00BC4FF1" w:rsidRPr="001D42A9" w:rsidTr="00C96BA1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2127" w:type="dxa"/>
            <w:vAlign w:val="center"/>
          </w:tcPr>
          <w:p w:rsidR="00BC4FF1" w:rsidRDefault="00BC4FF1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Align w:val="center"/>
          </w:tcPr>
          <w:p w:rsidR="00BC4FF1" w:rsidRDefault="00BC4FF1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Align w:val="center"/>
          </w:tcPr>
          <w:p w:rsidR="00BC4FF1" w:rsidRPr="00E93FE2" w:rsidRDefault="00BC4FF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529" w:type="dxa"/>
            <w:vAlign w:val="center"/>
          </w:tcPr>
          <w:p w:rsidR="00BC4FF1" w:rsidRPr="00E93FE2" w:rsidRDefault="00BC4FF1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C4FF1" w:rsidRPr="00E93FE2" w:rsidRDefault="00BC4FF1" w:rsidP="00E74A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almacenes e inventarios</w:t>
            </w: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2A48D4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4DEC" w:rsidRPr="002C4DEC" w:rsidRDefault="002C4DEC" w:rsidP="002C4DEC">
      <w:pPr>
        <w:rPr>
          <w:lang w:val="es-PE"/>
        </w:rPr>
      </w:pPr>
      <w:bookmarkStart w:id="16" w:name="_Toc292018125"/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1A414E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de </w:t>
            </w:r>
            <w:r w:rsidR="00D522D7">
              <w:rPr>
                <w:rFonts w:asciiTheme="minorHAnsi" w:hAnsiTheme="minorHAnsi" w:cstheme="minorHAnsi"/>
                <w:lang w:val="es-PE"/>
              </w:rPr>
              <w:t>proceso “Recepción de productos</w:t>
            </w:r>
            <w:r w:rsidR="001A414E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CF7833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13/06</w:t>
            </w:r>
            <w:r w:rsidR="003E226F">
              <w:rPr>
                <w:rFonts w:asciiTheme="minorHAnsi" w:hAnsiTheme="minorHAnsi" w:cstheme="minorHAnsi"/>
                <w:lang w:val="es-PE"/>
              </w:rPr>
              <w:t>/11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AE7BD7">
      <w:headerReference w:type="default" r:id="rId12"/>
      <w:footerReference w:type="default" r:id="rId13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669" w:rsidRDefault="003C7669" w:rsidP="00AE7BD7">
      <w:pPr>
        <w:spacing w:after="0" w:line="240" w:lineRule="auto"/>
      </w:pPr>
      <w:r>
        <w:separator/>
      </w:r>
    </w:p>
  </w:endnote>
  <w:endnote w:type="continuationSeparator" w:id="0">
    <w:p w:rsidR="003C7669" w:rsidRDefault="003C7669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715310">
            <w:fldChar w:fldCharType="begin"/>
          </w:r>
          <w:r w:rsidR="000316FA">
            <w:instrText xml:space="preserve"> PAGE   \* MERGEFORMAT </w:instrText>
          </w:r>
          <w:r w:rsidR="00715310">
            <w:fldChar w:fldCharType="separate"/>
          </w:r>
          <w:r w:rsidR="00DC2856">
            <w:rPr>
              <w:noProof/>
            </w:rPr>
            <w:t>4</w:t>
          </w:r>
          <w:r w:rsidR="00715310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631112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669" w:rsidRDefault="003C7669" w:rsidP="00AE7BD7">
      <w:pPr>
        <w:spacing w:after="0" w:line="240" w:lineRule="auto"/>
      </w:pPr>
      <w:r>
        <w:separator/>
      </w:r>
    </w:p>
  </w:footnote>
  <w:footnote w:type="continuationSeparator" w:id="0">
    <w:p w:rsidR="003C7669" w:rsidRDefault="003C7669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4B27"/>
    <w:rsid w:val="000875F3"/>
    <w:rsid w:val="00091DF5"/>
    <w:rsid w:val="000A574B"/>
    <w:rsid w:val="000B0310"/>
    <w:rsid w:val="000B134C"/>
    <w:rsid w:val="000B4A09"/>
    <w:rsid w:val="000D54F9"/>
    <w:rsid w:val="000E3D0B"/>
    <w:rsid w:val="000E4366"/>
    <w:rsid w:val="000E50B2"/>
    <w:rsid w:val="001058A4"/>
    <w:rsid w:val="00107A30"/>
    <w:rsid w:val="00114AC8"/>
    <w:rsid w:val="00133F0D"/>
    <w:rsid w:val="00136A37"/>
    <w:rsid w:val="00151D31"/>
    <w:rsid w:val="001605FC"/>
    <w:rsid w:val="0017312A"/>
    <w:rsid w:val="00186926"/>
    <w:rsid w:val="001879C7"/>
    <w:rsid w:val="001A414E"/>
    <w:rsid w:val="001A54CA"/>
    <w:rsid w:val="001A6336"/>
    <w:rsid w:val="001B0F40"/>
    <w:rsid w:val="001B1FBE"/>
    <w:rsid w:val="001D42A9"/>
    <w:rsid w:val="001E2567"/>
    <w:rsid w:val="001F7603"/>
    <w:rsid w:val="0022190A"/>
    <w:rsid w:val="00234777"/>
    <w:rsid w:val="00240984"/>
    <w:rsid w:val="00265607"/>
    <w:rsid w:val="00266243"/>
    <w:rsid w:val="00274535"/>
    <w:rsid w:val="00286E5E"/>
    <w:rsid w:val="002A1812"/>
    <w:rsid w:val="002A48D4"/>
    <w:rsid w:val="002B0A6E"/>
    <w:rsid w:val="002C4DEC"/>
    <w:rsid w:val="002C4EE5"/>
    <w:rsid w:val="002C69CA"/>
    <w:rsid w:val="002D2332"/>
    <w:rsid w:val="002D60F7"/>
    <w:rsid w:val="002E6BFC"/>
    <w:rsid w:val="003013D8"/>
    <w:rsid w:val="00306942"/>
    <w:rsid w:val="00325F3B"/>
    <w:rsid w:val="003376DE"/>
    <w:rsid w:val="00340F9C"/>
    <w:rsid w:val="00341517"/>
    <w:rsid w:val="00355E09"/>
    <w:rsid w:val="003625D5"/>
    <w:rsid w:val="00364B85"/>
    <w:rsid w:val="00385CF9"/>
    <w:rsid w:val="003A30DA"/>
    <w:rsid w:val="003A564A"/>
    <w:rsid w:val="003B0F18"/>
    <w:rsid w:val="003C544D"/>
    <w:rsid w:val="003C72A2"/>
    <w:rsid w:val="003C7669"/>
    <w:rsid w:val="003D08B8"/>
    <w:rsid w:val="003D48C5"/>
    <w:rsid w:val="003E226F"/>
    <w:rsid w:val="003F7BDA"/>
    <w:rsid w:val="004125B2"/>
    <w:rsid w:val="004153D3"/>
    <w:rsid w:val="00433C0B"/>
    <w:rsid w:val="004344EC"/>
    <w:rsid w:val="00460909"/>
    <w:rsid w:val="00473C6D"/>
    <w:rsid w:val="004752A0"/>
    <w:rsid w:val="00475ED6"/>
    <w:rsid w:val="004A6D82"/>
    <w:rsid w:val="004B3C16"/>
    <w:rsid w:val="004B5E59"/>
    <w:rsid w:val="004C07E0"/>
    <w:rsid w:val="004C21D8"/>
    <w:rsid w:val="004E2ED2"/>
    <w:rsid w:val="00503C69"/>
    <w:rsid w:val="00521B4A"/>
    <w:rsid w:val="005344E7"/>
    <w:rsid w:val="005360A6"/>
    <w:rsid w:val="0054297F"/>
    <w:rsid w:val="00543CAC"/>
    <w:rsid w:val="00567687"/>
    <w:rsid w:val="00571E71"/>
    <w:rsid w:val="005808C6"/>
    <w:rsid w:val="005B2A6C"/>
    <w:rsid w:val="005C1D7F"/>
    <w:rsid w:val="005C6E13"/>
    <w:rsid w:val="005D3C43"/>
    <w:rsid w:val="005E6D6A"/>
    <w:rsid w:val="005F70DC"/>
    <w:rsid w:val="005F72A7"/>
    <w:rsid w:val="006009F8"/>
    <w:rsid w:val="00614785"/>
    <w:rsid w:val="0062046E"/>
    <w:rsid w:val="00623830"/>
    <w:rsid w:val="00630C7E"/>
    <w:rsid w:val="00631112"/>
    <w:rsid w:val="00643653"/>
    <w:rsid w:val="006553F0"/>
    <w:rsid w:val="00670FFE"/>
    <w:rsid w:val="00680549"/>
    <w:rsid w:val="00684CED"/>
    <w:rsid w:val="00694E30"/>
    <w:rsid w:val="006972B8"/>
    <w:rsid w:val="006A5EAF"/>
    <w:rsid w:val="006B2A6F"/>
    <w:rsid w:val="006D305E"/>
    <w:rsid w:val="006F0B87"/>
    <w:rsid w:val="006F0EAF"/>
    <w:rsid w:val="006F14B0"/>
    <w:rsid w:val="006F2C14"/>
    <w:rsid w:val="006F48BA"/>
    <w:rsid w:val="00707C54"/>
    <w:rsid w:val="00713852"/>
    <w:rsid w:val="00715310"/>
    <w:rsid w:val="0074067C"/>
    <w:rsid w:val="00740C9C"/>
    <w:rsid w:val="007512CE"/>
    <w:rsid w:val="007533AE"/>
    <w:rsid w:val="0075358C"/>
    <w:rsid w:val="00753E2E"/>
    <w:rsid w:val="00753EEE"/>
    <w:rsid w:val="00770AA5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30D58"/>
    <w:rsid w:val="00843063"/>
    <w:rsid w:val="00847746"/>
    <w:rsid w:val="00872902"/>
    <w:rsid w:val="00874DF4"/>
    <w:rsid w:val="00893A91"/>
    <w:rsid w:val="008A1EEA"/>
    <w:rsid w:val="008A4A63"/>
    <w:rsid w:val="008A7863"/>
    <w:rsid w:val="008B5293"/>
    <w:rsid w:val="008D71A2"/>
    <w:rsid w:val="00912ED4"/>
    <w:rsid w:val="009318AC"/>
    <w:rsid w:val="00934F73"/>
    <w:rsid w:val="00950AD7"/>
    <w:rsid w:val="00955DEC"/>
    <w:rsid w:val="00961810"/>
    <w:rsid w:val="00962F23"/>
    <w:rsid w:val="009663A0"/>
    <w:rsid w:val="00967A0B"/>
    <w:rsid w:val="009710C7"/>
    <w:rsid w:val="009C7228"/>
    <w:rsid w:val="009E079A"/>
    <w:rsid w:val="009E4C14"/>
    <w:rsid w:val="009E6933"/>
    <w:rsid w:val="00A121AE"/>
    <w:rsid w:val="00A2466F"/>
    <w:rsid w:val="00A35217"/>
    <w:rsid w:val="00A376B1"/>
    <w:rsid w:val="00A40087"/>
    <w:rsid w:val="00A41638"/>
    <w:rsid w:val="00A4244D"/>
    <w:rsid w:val="00A50D74"/>
    <w:rsid w:val="00A51BCF"/>
    <w:rsid w:val="00A67F65"/>
    <w:rsid w:val="00A72FE0"/>
    <w:rsid w:val="00A800BE"/>
    <w:rsid w:val="00A877ED"/>
    <w:rsid w:val="00A878A9"/>
    <w:rsid w:val="00AA187F"/>
    <w:rsid w:val="00AA3969"/>
    <w:rsid w:val="00AA460C"/>
    <w:rsid w:val="00AB5259"/>
    <w:rsid w:val="00AE7BD7"/>
    <w:rsid w:val="00AF3711"/>
    <w:rsid w:val="00B07667"/>
    <w:rsid w:val="00B35D35"/>
    <w:rsid w:val="00B42F07"/>
    <w:rsid w:val="00B50354"/>
    <w:rsid w:val="00B5549F"/>
    <w:rsid w:val="00B55979"/>
    <w:rsid w:val="00B71F22"/>
    <w:rsid w:val="00B959F4"/>
    <w:rsid w:val="00BC4FF1"/>
    <w:rsid w:val="00BE71AF"/>
    <w:rsid w:val="00C17193"/>
    <w:rsid w:val="00C26B9A"/>
    <w:rsid w:val="00C764D0"/>
    <w:rsid w:val="00C84972"/>
    <w:rsid w:val="00C94583"/>
    <w:rsid w:val="00C96525"/>
    <w:rsid w:val="00C96BA1"/>
    <w:rsid w:val="00CC3C37"/>
    <w:rsid w:val="00CD02AE"/>
    <w:rsid w:val="00CE13D6"/>
    <w:rsid w:val="00CE58B0"/>
    <w:rsid w:val="00CE687F"/>
    <w:rsid w:val="00CE7F17"/>
    <w:rsid w:val="00CF0A43"/>
    <w:rsid w:val="00CF7833"/>
    <w:rsid w:val="00D16129"/>
    <w:rsid w:val="00D4597D"/>
    <w:rsid w:val="00D51A42"/>
    <w:rsid w:val="00D522D7"/>
    <w:rsid w:val="00D5625C"/>
    <w:rsid w:val="00D63BF6"/>
    <w:rsid w:val="00D644CB"/>
    <w:rsid w:val="00D647A7"/>
    <w:rsid w:val="00D74D0B"/>
    <w:rsid w:val="00D75B1F"/>
    <w:rsid w:val="00D84473"/>
    <w:rsid w:val="00D84D03"/>
    <w:rsid w:val="00D91A35"/>
    <w:rsid w:val="00DA3131"/>
    <w:rsid w:val="00DB046D"/>
    <w:rsid w:val="00DB157D"/>
    <w:rsid w:val="00DC2856"/>
    <w:rsid w:val="00DC587C"/>
    <w:rsid w:val="00DC6C70"/>
    <w:rsid w:val="00DD2B2B"/>
    <w:rsid w:val="00DE10E4"/>
    <w:rsid w:val="00DF06BF"/>
    <w:rsid w:val="00DF57DD"/>
    <w:rsid w:val="00E0300C"/>
    <w:rsid w:val="00E11BA4"/>
    <w:rsid w:val="00E2170F"/>
    <w:rsid w:val="00E23886"/>
    <w:rsid w:val="00E25FDC"/>
    <w:rsid w:val="00E416AC"/>
    <w:rsid w:val="00E43E81"/>
    <w:rsid w:val="00E46803"/>
    <w:rsid w:val="00E53BA9"/>
    <w:rsid w:val="00E55CA7"/>
    <w:rsid w:val="00E6094F"/>
    <w:rsid w:val="00E706CF"/>
    <w:rsid w:val="00E864DD"/>
    <w:rsid w:val="00E93FE2"/>
    <w:rsid w:val="00E944E4"/>
    <w:rsid w:val="00EC694D"/>
    <w:rsid w:val="00ED738B"/>
    <w:rsid w:val="00EE38CB"/>
    <w:rsid w:val="00F0110D"/>
    <w:rsid w:val="00F02D50"/>
    <w:rsid w:val="00F04DBC"/>
    <w:rsid w:val="00F2257C"/>
    <w:rsid w:val="00F24489"/>
    <w:rsid w:val="00F352D6"/>
    <w:rsid w:val="00F52ABB"/>
    <w:rsid w:val="00F74081"/>
    <w:rsid w:val="00F831EC"/>
    <w:rsid w:val="00F861C9"/>
    <w:rsid w:val="00F87D18"/>
    <w:rsid w:val="00FB3650"/>
    <w:rsid w:val="00FB502B"/>
    <w:rsid w:val="00FD0DF7"/>
    <w:rsid w:val="00FD7324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22057-733B-48CA-82CC-8504321B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560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Compra de productos</vt:lpstr>
      <vt:lpstr>Análisis y Diseño de la Arquitectura de Procesos para la Pequeña Minería:      Proceso de Compras</vt:lpstr>
    </vt:vector>
  </TitlesOfParts>
  <Company>Hewlett-Packard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Recepción de productos</dc:title>
  <dc:subject>Definición de Procesos</dc:subject>
  <dc:creator>Kaya Pamela Marina Cortegana</dc:creator>
  <cp:lastModifiedBy>MARTIN</cp:lastModifiedBy>
  <cp:revision>18</cp:revision>
  <dcterms:created xsi:type="dcterms:W3CDTF">2011-06-15T07:12:00Z</dcterms:created>
  <dcterms:modified xsi:type="dcterms:W3CDTF">2011-06-15T07:42:00Z</dcterms:modified>
</cp:coreProperties>
</file>