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jc w:val="center"/>
        <w:spacing w:lineRule="auto"/>
      </w:pPr>
      <w:r>
        <w:rPr/>
        <w:t xml:space="preserve">Acta de Reunión del Consejo de Administración</w:t>
      </w:r>
    </w:p>
    <w:p>
      <w:pPr>
        <w:spacing w:lineRule="auto"/>
      </w:pPr>
      <w:r>
        <w:rPr>
          <w:b/>
        </w:rPr>
        <w:t xml:space="preserve">Fecha:</w:t>
      </w:r>
      <w:r>
        <w:rPr/>
        <w:t xml:space="preserve"> 27 de noviembre de 2023</w:t>
      </w:r>
    </w:p>
    <w:p>
      <w:pPr>
        <w:spacing w:lineRule="auto"/>
      </w:pPr>
      <w:r>
        <w:rPr>
          <w:b/>
        </w:rPr>
        <w:t xml:space="preserve">Hora:</w:t>
      </w:r>
      <w:r>
        <w:rPr/>
        <w:t xml:space="preserve"> Inicio: [HORA DE INICIO] - Cierre: [HORA DE CIERRE]</w:t>
      </w:r>
    </w:p>
    <w:p>
      <w:pPr>
        <w:spacing w:lineRule="auto"/>
      </w:pPr>
      <w:r>
        <w:rPr>
          <w:b/>
        </w:rPr>
        <w:t xml:space="preserve">Lugar:</w:t>
      </w:r>
      <w:r>
        <w:rPr/>
        <w:t xml:space="preserve"> [UBICACIÓN NO ESPECIFICADA]</w:t>
      </w:r>
    </w:p>
    <w:p>
      <w:pPr>
        <w:spacing w:lineRule="auto"/>
      </w:pPr>
      <w:r>
        <w:rPr>
          <w:b/>
        </w:rPr>
        <w:t xml:space="preserve">Moderador:</w:t>
      </w:r>
      <w:r>
        <w:rPr/>
        <w:t xml:space="preserve"> Faber - Administrador</w:t>
      </w:r>
    </w:p>
    <w:p>
      <w:pPr>
        <w:spacing w:lineRule="auto"/>
      </w:pPr>
      <w:r>
        <w:rPr>
          <w:b/>
        </w:rPr>
        <w:t xml:space="preserve">Asistentes:</w:t>
      </w:r>
    </w:p>
    <w:p>
      <w:pPr>
        <w:numPr>
          <w:ilvl w:val="0"/>
          <w:numId w:val="1"/>
        </w:numPr>
        <w:spacing w:lineRule="auto"/>
      </w:pPr>
      <w:r>
        <w:rPr/>
        <w:t xml:space="preserve">Mauricio - [CARGO NO ESPECIFICADO]</w:t>
      </w:r>
    </w:p>
    <w:p>
      <w:pPr>
        <w:numPr>
          <w:ilvl w:val="0"/>
          <w:numId w:val="1"/>
        </w:numPr>
        <w:spacing w:lineRule="auto"/>
      </w:pPr>
      <w:r>
        <w:rPr/>
        <w:t xml:space="preserve">Gabriel - [CARGO NO ESPECIFICADO]</w:t>
      </w:r>
    </w:p>
    <w:p>
      <w:pPr>
        <w:numPr>
          <w:ilvl w:val="0"/>
          <w:numId w:val="1"/>
        </w:numPr>
        <w:spacing w:lineRule="auto"/>
      </w:pPr>
      <w:r>
        <w:rPr/>
        <w:t xml:space="preserve">Quintas - [CARGO NO ESPECIFICADO]</w:t>
      </w:r>
    </w:p>
    <w:p>
      <w:pPr>
        <w:numPr>
          <w:ilvl w:val="0"/>
          <w:numId w:val="1"/>
        </w:numPr>
        <w:spacing w:lineRule="auto"/>
      </w:pPr>
      <w:r>
        <w:rPr/>
        <w:t xml:space="preserve">Marta - Doctora / Propietaria</w:t>
      </w:r>
    </w:p>
    <w:p>
      <w:pPr>
        <w:numPr>
          <w:ilvl w:val="0"/>
          <w:numId w:val="1"/>
        </w:numPr>
        <w:spacing w:lineRule="auto"/>
      </w:pPr>
      <w:r>
        <w:rPr/>
        <w:t xml:space="preserve">Nicolás - [CARGO NO ESPECIFICADO]</w:t>
      </w:r>
    </w:p>
    <w:p>
      <w:pPr>
        <w:numPr>
          <w:ilvl w:val="0"/>
          <w:numId w:val="1"/>
        </w:numPr>
        <w:spacing w:lineRule="auto"/>
      </w:pPr>
      <w:r>
        <w:rPr/>
        <w:t xml:space="preserve">Felipe - Propietario (Apartamento 603)</w:t>
      </w:r>
    </w:p>
    <w:p>
      <w:pPr>
        <w:numPr>
          <w:ilvl w:val="0"/>
          <w:numId w:val="1"/>
        </w:numPr>
        <w:spacing w:lineRule="auto"/>
      </w:pPr>
      <w:r>
        <w:rPr/>
        <w:t xml:space="preserve">Maribel - Revisor Fiscal</w:t>
      </w:r>
    </w:p>
    <w:p>
      <w:pPr>
        <w:numPr>
          <w:ilvl w:val="0"/>
          <w:numId w:val="1"/>
        </w:numPr>
        <w:spacing w:lineRule="auto"/>
      </w:pPr>
      <w:r>
        <w:rPr/>
        <w:t xml:space="preserve">Clara - Doctora / [CARGO NO ESPECIFICADO]</w:t>
      </w:r>
    </w:p>
    <w:p>
      <w:pPr>
        <w:numPr>
          <w:ilvl w:val="0"/>
          <w:numId w:val="1"/>
        </w:numPr>
        <w:spacing w:lineRule="auto"/>
      </w:pPr>
      <w:r>
        <w:rPr/>
        <w:t xml:space="preserve">Juan - [CARGO NO ESPECIFICADO]</w:t>
      </w:r>
    </w:p>
    <w:p>
      <w:pPr>
        <w:numPr>
          <w:ilvl w:val="0"/>
          <w:numId w:val="1"/>
        </w:numPr>
        <w:spacing w:lineRule="auto"/>
      </w:pPr>
      <w:r>
        <w:rPr/>
        <w:t xml:space="preserve">José - Abogado de Londoño Gómez</w:t>
      </w:r>
    </w:p>
    <w:p>
      <w:pPr>
        <w:numPr>
          <w:ilvl w:val="0"/>
          <w:numId w:val="1"/>
        </w:numPr>
        <w:spacing w:lineRule="auto"/>
      </w:pPr>
      <w:r>
        <w:rPr/>
        <w:t xml:space="preserve">Adriana - [CARGO NO ESPECIFICADO]</w:t>
      </w:r>
    </w:p>
    <w:p>
      <w:pPr>
        <w:numPr>
          <w:ilvl w:val="0"/>
          <w:numId w:val="1"/>
        </w:numPr>
        <w:spacing w:lineRule="auto"/>
      </w:pPr>
      <w:r>
        <w:rPr/>
        <w:t xml:space="preserve">Alonso - [CARGO NO ESPECIFICADO]</w:t>
      </w:r>
    </w:p>
    <w:p>
      <w:pPr>
        <w:numPr>
          <w:ilvl w:val="0"/>
          <w:numId w:val="1"/>
        </w:numPr>
        <w:spacing w:lineRule="auto"/>
      </w:pPr>
      <w:r>
        <w:rPr/>
        <w:t xml:space="preserve">Zaza - [CARGO NO ESPECIFICADO]</w:t>
      </w:r>
    </w:p>
    <w:p>
      <w:pPr>
        <w:numPr>
          <w:ilvl w:val="0"/>
          <w:numId w:val="1"/>
        </w:numPr>
        <w:spacing w:lineRule="auto"/>
      </w:pPr>
      <w:r>
        <w:rPr/>
        <w:t xml:space="preserve">Serna - Personal de Seguridad</w:t>
      </w:r>
    </w:p>
    <w:p>
      <w:pPr>
        <w:numPr>
          <w:ilvl w:val="0"/>
          <w:numId w:val="1"/>
        </w:numPr>
        <w:spacing w:lineRule="auto"/>
      </w:pPr>
      <w:r>
        <w:rPr/>
        <w:t xml:space="preserve">Cano - Personal de Seguridad</w:t>
      </w:r>
    </w:p>
    <w:p>
      <w:pPr>
        <w:numPr>
          <w:ilvl w:val="0"/>
          <w:numId w:val="1"/>
        </w:numPr>
        <w:spacing w:lineRule="auto"/>
      </w:pPr>
      <w:r>
        <w:rPr/>
        <w:t xml:space="preserve">Luz - Personal de Seguridad</w:t>
      </w:r>
    </w:p>
    <w:p>
      <w:pPr>
        <w:numPr>
          <w:ilvl w:val="0"/>
          <w:numId w:val="1"/>
        </w:numPr>
        <w:spacing w:lineRule="auto"/>
      </w:pPr>
      <w:r>
        <w:rPr/>
        <w:t xml:space="preserve">Rogel - Personal de Seguridad</w:t>
      </w:r>
    </w:p>
    <w:p>
      <w:pPr>
        <w:numPr>
          <w:ilvl w:val="0"/>
          <w:numId w:val="1"/>
        </w:numPr>
        <w:spacing w:lineRule="auto"/>
      </w:pPr>
      <w:r>
        <w:rPr/>
        <w:t xml:space="preserve">Rubén Parra - Personal de Seguridad</w:t>
      </w:r>
    </w:p>
    <w:p>
      <w:pPr>
        <w:numPr>
          <w:ilvl w:val="0"/>
          <w:numId w:val="1"/>
        </w:numPr>
        <w:spacing w:lineRule="auto"/>
      </w:pPr>
      <w:r>
        <w:rPr/>
        <w:t xml:space="preserve">Andrés - Propietario (Apartamento 604)</w:t>
      </w:r>
    </w:p>
    <w:p>
      <w:pPr>
        <w:numPr>
          <w:ilvl w:val="0"/>
          <w:numId w:val="1"/>
        </w:numPr>
        <w:spacing w:lineRule="auto"/>
      </w:pPr>
      <w:r>
        <w:rPr/>
        <w:t xml:space="preserve">Propietario Apartamento 607</w:t>
      </w:r>
    </w:p>
    <w:p>
      <w:pPr>
        <w:numPr>
          <w:ilvl w:val="0"/>
          <w:numId w:val="1"/>
        </w:numPr>
        <w:spacing w:lineRule="auto"/>
      </w:pPr>
      <w:r>
        <w:rPr/>
        <w:t xml:space="preserve">Propietario Apartamento 701</w:t>
      </w:r>
    </w:p>
    <w:p>
      <w:pPr>
        <w:numPr>
          <w:ilvl w:val="0"/>
          <w:numId w:val="1"/>
        </w:numPr>
        <w:spacing w:lineRule="auto"/>
      </w:pPr>
      <w:r>
        <w:rPr/>
        <w:t xml:space="preserve">Propietario Apartamento 1606</w:t>
      </w:r>
    </w:p>
    <w:p>
      <w:pPr>
        <w:numPr>
          <w:ilvl w:val="0"/>
          <w:numId w:val="1"/>
        </w:numPr>
        <w:spacing w:lineRule="auto"/>
      </w:pPr>
      <w:r>
        <w:rPr/>
        <w:t xml:space="preserve">Propietario Apartamento 805</w:t>
      </w:r>
    </w:p>
    <w:p>
      <w:pPr>
        <w:numPr>
          <w:ilvl w:val="0"/>
          <w:numId w:val="1"/>
        </w:numPr>
        <w:spacing w:lineRule="auto"/>
      </w:pPr>
      <w:r>
        <w:rPr/>
        <w:t xml:space="preserve">Propietario Apartamento</w:t>
      </w:r>
      <w:r>
        <w:rPr/>
      </w:r>
      <w:r>
        <w:rPr/>
      </w:r>
      <w:r>
        <w:rPr/>
      </w:r>
      <w:r>
        <w:rPr/>
      </w:r>
      <w:r>
        <w:rPr/>
      </w:r>
      <w:r>
        <w:rPr/>
      </w:r>
      <w:r>
        <w:rPr/>
      </w:r>
      <w:r>
        <w:rPr/>
      </w:r>
      <w:r>
        <w:rPr/>
      </w:r>
      <w:r>
        <w:rPr/>
      </w:r>
      <w:r>
        <w:rPr/>
      </w:r>
      <w:r>
        <w:rPr/>
      </w:r>
      <w:r>
        <w:rPr/>
      </w:r>
      <w:r>
        <w:rPr/>
      </w:r>
      <w:r>
        <w:rPr/>
      </w:r>
      <w:r>
        <w:rPr/>
      </w:r>
      <w:r>
        <w:rPr/>
      </w:r>
      <w:r>
        <w:rPr/>
      </w:r>
      <w:r>
        <w:rPr/>
      </w:r>
      <w:r>
        <w:rPr/>
        <w:t xml:space="preserve">  La reunión abordó el proyecto de servidumbre y la ampliación de la zona de mascotas, un tema que había sido objeto de cotización y discusión en encuentros anteriores, incluyendo una visita al lugar por parte de algunos miembros del Consejo. El proyecto, con un valor total de </w:t>
      </w:r>
      <w:r>
        <w:rPr>
          <w:b/>
        </w:rPr>
        <w:t xml:space="preserve">4 millones 200 mil pesos</w:t>
      </w:r>
      <w:r>
        <w:rPr/>
        <w:t xml:space="preserve">, contempla el traslado de infraestructura hacia la mitad del camino de la servidumbre.  </w:t>
      </w:r>
      <w:r>
        <w:rPr/>
      </w:r>
      <w:r>
        <w:rPr/>
        <w:t xml:space="preserve"> La principal motivación para este proyecto radica en la seguridad de la copropiedad. El administrador explicó que la zona actual de la servidumbre es frecuentada por habitantes de calle, quienes se congregan allí, generando un riesgo latente de ingreso a las instalaciones. La reubicación de la infraestructura busca mitigar esta situación.  </w:t>
      </w:r>
      <w:r>
        <w:rPr/>
      </w:r>
      <w:r>
        <w:rPr/>
        <w:t xml:space="preserve"> El proyecto también ofrece la oportunidad de ampliar la zona de mascotas y reactivar el tránsito peatonal en el sitio. Se propuso aprovechar los adoquines existentes para mejorar el área del jardín, que actualmente presenta hierba. La intervención incluiría la instalación de una banca y un arreglo vegetal en la parte trasera, extendiendo la zona de mascotas hasta la mitad del callejón. El costo estimado para la adecuación con adoquines y una banca se mencionó en </w:t>
      </w:r>
      <w:r>
        <w:rPr>
          <w:b/>
        </w:rPr>
        <w:t xml:space="preserve">2 millones de pesos</w:t>
      </w:r>
      <w:r>
        <w:rPr/>
        <w:t xml:space="preserve">, sumando un total de </w:t>
      </w:r>
      <w:r>
        <w:rPr>
          <w:b/>
        </w:rPr>
        <w:t xml:space="preserve">6 millones de pesos</w:t>
      </w:r>
      <w:r>
        <w:rPr/>
        <w:t xml:space="preserve"> para ambas intervenciones. Se aclaró que el componente de adoquines y paisajismo no se clasificaría como gasto de seguridad.  </w:t>
      </w:r>
      <w:r>
        <w:rPr/>
      </w:r>
      <w:r>
        <w:rPr/>
        <w:t xml:space="preserve"> Se planteó la creación de una puerta peatonal en la servidumbre, la cual originalmente era vehicular. Esta puerta contaría con una cerradura magnética, permitiendo al personal de seguridad verificar la identidad de los usuarios mediante una cámara, restringiendo el acceso exclusivamente a residentes y prohibiendo el ingreso de visitantes por esta vía.  Sin embargo, la propuesta de abrir un acceso peatonal generó diversas inquietudes entre los asistentes. Un participante expresó su preocupación por la convivencia, señalando que la zona de mascotas podría generar conflictos entre propietarios con y sin animales, especialmente si el acceso implicara transitar directamente por dicha área. Se manifestó la necesidad de establecer reglas claras sobre horarios y la prohibición de ingreso con visitantes.  Otro asistente cuestionó la practicidad y la viabilidad de este acceso, argumentando que podría ser más engorroso que las salidas existentes y que no se percibía un beneficio significativo en términos de ahorro de distancia. Se sugirió que la apertura de una puerta automática podría generar más problemas que soluciones, como la posible fuga de mascotas o dificultades en el control de visitantes y residentes. El señor Felipe, por su parte, consideró que mover la puerta para extender la zona de mascotas era una buena idea, pero no así la apertura de un acceso peatonal, ya que podría generar más complicaciones que beneficios.  </w:t>
      </w:r>
      <w:r>
        <w:rPr/>
      </w:r>
      <w:r>
        <w:rPr/>
        <w:t xml:space="preserve"> Tras la discusión, se acordó </w:t>
      </w:r>
      <w:r>
        <w:rPr>
          <w:b/>
        </w:rPr>
        <w:t xml:space="preserve">trasladar la puerta de la servidumbre</w:t>
      </w:r>
      <w:r>
        <w:rPr/>
        <w:t xml:space="preserve"> al punto previamente conversado, pero </w:t>
      </w:r>
      <w:r>
        <w:rPr>
          <w:b/>
        </w:rPr>
        <w:t xml:space="preserve">sin habilitar ningún tipo de apertura o acceso peatonal por el momento</w:t>
      </w:r>
      <w:r>
        <w:rPr/>
        <w:t xml:space="preserve">. La decisión se basó en las preocupaciones expresadas sobre la viabilidad, la seguridad y los posibles conflictos de convivencia.  </w:t>
      </w:r>
      <w:r>
        <w:rPr/>
      </w:r>
      <w:r>
        <w:rPr/>
        <w:t xml:space="preserve"> El administrador informó que, tras la aplicación de los fondos para el proyecto de servidumbre (traslado de infraestructura) y la adecuación con adoquines, la reserva de reinversión de la copropiedad quedaría con un saldo de </w:t>
      </w:r>
      <w:r>
        <w:rPr>
          <w:b/>
        </w:rPr>
        <w:t xml:space="preserve">75 millones de pesos</w:t>
      </w:r>
      <w:r>
        <w:rPr/>
        <w:t xml:space="preserve">.</w:t>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p>
    <w:p>
      <w:pPr>
        <w:numPr>
          <w:ilvl w:val="1"/>
          <w:numId w:val="2"/>
        </w:numPr>
        <w:spacing w:lineRule="auto"/>
      </w:pPr>
      <w:r>
        <w:rPr>
          <w:b/>
        </w:rPr>
        <w:t xml:space="preserve">Apartamento 604:</w:t>
      </w:r>
      <w:r>
        <w:rPr/>
        <w:t xml:space="preserve"> Por mal uso del gimnasio, dejando la zona desordenada.</w:t>
      </w:r>
    </w:p>
    <w:p>
      <w:pPr>
        <w:numPr>
          <w:ilvl w:val="1"/>
          <w:numId w:val="2"/>
        </w:numPr>
        <w:spacing w:lineRule="auto"/>
      </w:pPr>
      <w:r>
        <w:rPr>
          <w:b/>
        </w:rPr>
        <w:t xml:space="preserve">Apartamento 607:</w:t>
      </w:r>
      <w:r>
        <w:rPr/>
        <w:t xml:space="preserve"> Por no retirar elementos de su parqueadero, a pesar de haber sido notificado.</w:t>
      </w:r>
    </w:p>
    <w:p>
      <w:pPr>
        <w:numPr>
          <w:ilvl w:val="1"/>
          <w:numId w:val="2"/>
        </w:numPr>
        <w:spacing w:lineRule="auto"/>
      </w:pPr>
      <w:r>
        <w:rPr>
          <w:b/>
        </w:rPr>
        <w:t xml:space="preserve">Apartamento 701:</w:t>
      </w:r>
      <w:r>
        <w:rPr/>
        <w:t xml:space="preserve"> Un segundo caso que ya había sido notificado a la inmobiliaria.</w:t>
      </w:r>
    </w:p>
    <w:p>
      <w:pPr>
        <w:numPr>
          <w:ilvl w:val="1"/>
          <w:numId w:val="2"/>
        </w:numPr>
        <w:spacing w:lineRule="auto"/>
      </w:pPr>
      <w:r>
        <w:rPr>
          <w:b/>
        </w:rPr>
        <w:t xml:space="preserve">Apartamento 1606:</w:t>
      </w:r>
      <w:r>
        <w:rPr/>
        <w:t xml:space="preserve"> Por tener elementos en el parqueadero que no corresponden a vehículos.</w:t>
      </w:r>
    </w:p>
    <w:p>
      <w:pPr>
        <w:numPr>
          <w:ilvl w:val="1"/>
          <w:numId w:val="2"/>
        </w:numPr>
        <w:spacing w:lineRule="auto"/>
      </w:pPr>
      <w:r>
        <w:rPr>
          <w:b/>
        </w:rPr>
        <w:t xml:space="preserve">Apartamento 607:</w:t>
      </w:r>
      <w:r>
        <w:rPr/>
        <w:t xml:space="preserve"> Por reincidencia en no recoger las heces de su mascota (dos eventos previos).</w:t>
      </w:r>
    </w:p>
    <w:p>
      <w:pPr>
        <w:numPr>
          <w:ilvl w:val="1"/>
          <w:numId w:val="2"/>
        </w:numPr>
        <w:spacing w:lineRule="auto"/>
      </w:pPr>
      <w:r>
        <w:rPr>
          <w:b/>
        </w:rPr>
        <w:t xml:space="preserve">Apartamento 805:</w:t>
      </w:r>
      <w:r>
        <w:rPr/>
        <w:t xml:space="preserve"> Por reincidencia en no recoger las heces de su mascota.</w:t>
      </w:r>
    </w:p>
    <w:p>
      <w:pPr>
        <w:numPr>
          <w:ilvl w:val="0"/>
          <w:numId w:val="1"/>
        </w:numPr>
        <w:spacing w:lineRule="auto"/>
      </w:pPr>
      <w:r>
        <w:rPr/>
        <w:t xml:space="preserve">El administrador solicitó la autorización del Consejo para la apertura de estos procesos, lo que implica la notificación formal a los involucrados y la concesión de cinco días para la presentación de descargos. Se aclaró que, si la persona reconoce la falta y se compromete a no reincidir, el proceso podría cerrarse en esa etapa, pero la decisión final sobre la sanción recae en el Consejo, especialmente en casos de gravedad o ausencia de descargos. El Consejo de Administración </w:t>
      </w:r>
      <w:r>
        <w:rPr>
          <w:b/>
        </w:rPr>
        <w:t xml:space="preserve">autorizó la apertura de los procesos sancionatorios</w:t>
      </w:r>
      <w:r>
        <w:rPr/>
        <w:t xml:space="preserve"> para los casos presentados.</w:t>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2026-01-15T17:08:37.054Z</dcterms:created>
  <dcterms:modified xsi:type="dcterms:W3CDTF">2026-01-15T17:08:37.054Z</dcterms:modified>
</cp:coreProperties>
</file>