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Formula Inserter - Audit Test Document</w:t>
      </w:r>
    </w:p>
    <w:p>
      <w:r>
        <w:t xml:space="preserve"/>
      </w:r>
    </w:p>
    <w:p>
      <w:r>
        <w:t xml:space="preserve">A widget (10) is connected to a housing (12) by a fastener (99).</w:t>
      </w:r>
    </w:p>
    <w:p>
      <w:r>
        <w:t xml:space="preserve"/>
      </w:r>
    </w:p>
    <w:p>
      <w:r>
        <w:t xml:space="preserve">Figure 1. The widget assembly.</w:t>
      </w:r>
    </w:p>
    <w:p>
      <w:r>
        <w:t xml:space="preserve"/>
      </w:r>
    </w:p>
    <w:p>
      <w:r>
        <w:t xml:space="preserve">As shown in Fig. 1 and Fig. 3, the device operates as described; see Fig. 7 for the variant.</w:t>
      </w:r>
    </w:p>
    <w:p>
      <w:r>
        <w:t xml:space="preserve"/>
      </w:r>
    </w:p>
    <w:p>
      <w:r>
        <w:t xml:space="preserve">The polypeptide of SEQ ID NO: 5 binds the target receptor.</w:t>
      </w:r>
    </w:p>
    <w:p>
      <w:r>
        <w:t xml:space="preserve"/>
      </w:r>
    </w:p>
    <w:p>
      <w:r>
        <w:t xml:space="preserve">(Generated test document - run docs/TEST-SCRIPT.md against this. Expected audit flags: orphan numeral (99); SEQ ID NO 5 out of range; figure-number gaps; dangling Fig. 3 and Fig. 7.)</w:t>
      </w:r>
    </w:p>
    <w:sectPr/>
  </w:body>
</w:document>
</file>