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CFF3" w14:textId="299DF904" w:rsidR="00DA5F40" w:rsidRDefault="00DA5F40" w:rsidP="00DA5F40">
      <w:r>
        <w:t>Alex Spence</w:t>
      </w:r>
    </w:p>
    <w:p w14:paraId="7F07C3A9" w14:textId="371C4810" w:rsidR="00DA5F40" w:rsidRDefault="00DA5F40" w:rsidP="00DA5F40">
      <w:pPr>
        <w:jc w:val="right"/>
      </w:pPr>
      <w:r>
        <w:t>DSC 640 Term Project Final Paper</w:t>
      </w:r>
    </w:p>
    <w:p w14:paraId="020578C8" w14:textId="77777777" w:rsidR="00DA5F40" w:rsidRDefault="00DA5F40" w:rsidP="00DA5F40"/>
    <w:p w14:paraId="0C1E541A" w14:textId="07EF4A63" w:rsidR="00DA5F40" w:rsidRPr="00DA5F40" w:rsidRDefault="00DA5F40" w:rsidP="00DA5F40">
      <w:r w:rsidRPr="00DA5F40">
        <w:t>Childcare Cost Analysis: Final Paper</w:t>
      </w:r>
    </w:p>
    <w:p w14:paraId="028D2072" w14:textId="0E5D6113" w:rsidR="00DA5F40" w:rsidRPr="00DA5F40" w:rsidRDefault="00DA5F40" w:rsidP="00DA5F40">
      <w:r w:rsidRPr="00DA5F40">
        <w:t xml:space="preserve">The analysis examined childcare costs and related economic indicators across the United States from 2008 to 2018 using the nationaldatabaseofchildcareprices.xlsx dataset. The work was conducted in Python within a </w:t>
      </w:r>
      <w:proofErr w:type="spellStart"/>
      <w:r w:rsidRPr="00DA5F40">
        <w:t>Jupyter</w:t>
      </w:r>
      <w:proofErr w:type="spellEnd"/>
      <w:r w:rsidRPr="00DA5F40">
        <w:t xml:space="preserve"> Notebook environment. The Excel file was imported into a Pandas </w:t>
      </w:r>
      <w:proofErr w:type="spellStart"/>
      <w:r w:rsidRPr="00DA5F40">
        <w:t>DataFrame</w:t>
      </w:r>
      <w:proofErr w:type="spellEnd"/>
      <w:r w:rsidRPr="00DA5F40">
        <w:t>, and key variables</w:t>
      </w:r>
      <w:r>
        <w:t xml:space="preserve"> </w:t>
      </w:r>
      <w:r w:rsidRPr="00DA5F40">
        <w:t>including unemployment rate (UNR_16), female labor force participation (FLFPR_20to64), poverty rate (PR_F), median household income (MHI), and weekly childcare prices for center-based infant care (</w:t>
      </w:r>
      <w:proofErr w:type="spellStart"/>
      <w:r w:rsidRPr="00DA5F40">
        <w:t>MCInfant</w:t>
      </w:r>
      <w:proofErr w:type="spellEnd"/>
      <w:r w:rsidRPr="00DA5F40">
        <w:t>) and family-based infant care (</w:t>
      </w:r>
      <w:proofErr w:type="spellStart"/>
      <w:proofErr w:type="gramStart"/>
      <w:r w:rsidRPr="00DA5F40">
        <w:t>MFCCInfant</w:t>
      </w:r>
      <w:proofErr w:type="spellEnd"/>
      <w:r w:rsidRPr="00DA5F40">
        <w:t>)  were</w:t>
      </w:r>
      <w:proofErr w:type="gramEnd"/>
      <w:r w:rsidRPr="00DA5F40">
        <w:t xml:space="preserve"> converted to numeric format. Rows missing critical values for MHI, </w:t>
      </w:r>
      <w:proofErr w:type="spellStart"/>
      <w:r w:rsidRPr="00DA5F40">
        <w:t>MCInfant</w:t>
      </w:r>
      <w:proofErr w:type="spellEnd"/>
      <w:r w:rsidRPr="00DA5F40">
        <w:t xml:space="preserve">, or </w:t>
      </w:r>
      <w:proofErr w:type="spellStart"/>
      <w:r w:rsidRPr="00DA5F40">
        <w:t>MFCCInfant</w:t>
      </w:r>
      <w:proofErr w:type="spellEnd"/>
      <w:r w:rsidRPr="00DA5F40">
        <w:t xml:space="preserve"> were removed to ensure analytical reliability. Weekly childcare prices were annualized by multiplying by 52 weeks and expressed as a percentage of median household income to assess true affordability. Summary statistics were calculated, trends were aggregated by state and year, and correlations were explored, most notably between unemployment and female labor force participation. Visualizations were prepared for three distinct communication mediums</w:t>
      </w:r>
      <w:r>
        <w:t>:</w:t>
      </w:r>
      <w:r w:rsidRPr="00DA5F40">
        <w:t xml:space="preserve"> a PowerPoint presentation, a social-media-ready infographic, and an interactive Tableau dashboard with processed data also exported as CSVs for broader use.</w:t>
      </w:r>
    </w:p>
    <w:p w14:paraId="7B227553" w14:textId="77777777" w:rsidR="00DA5F40" w:rsidRPr="00DA5F40" w:rsidRDefault="00DA5F40" w:rsidP="00DA5F40">
      <w:r w:rsidRPr="00DA5F40">
        <w:t>The findings reveal that childcare represents a substantial financial burden for American families. Center-based infant care averaged $145.70 per week, while family-based infant care averaged $113.39 per week. Over the ten-year period, costs increased between 5% and 10%. A correlation of –0.43 between unemployment rates and female labor force participation indicates that high childcare costs, combined with job scarcity, create a powerful disincentive for women to remain in or re-enter the workforce. Regions with higher childcare prices consistently showed elevated poverty rates. Infant care proved consistently more expensive than toddler or preschool care, a pattern explained by the greater staffing ratios required for very young children. Rural states experienced a disproportionately heavy economic strain compared to more urbanized areas.</w:t>
      </w:r>
    </w:p>
    <w:p w14:paraId="73FBEF08" w14:textId="61A1161B" w:rsidR="00DA5F40" w:rsidRPr="00DA5F40" w:rsidRDefault="00DA5F40" w:rsidP="00DA5F40">
      <w:r w:rsidRPr="00DA5F40">
        <w:t xml:space="preserve">Several assumptions were made during the analysis. Childcare prices were treated as weekly </w:t>
      </w:r>
      <w:proofErr w:type="gramStart"/>
      <w:r w:rsidRPr="00DA5F40">
        <w:t>figures</w:t>
      </w:r>
      <w:proofErr w:type="gramEnd"/>
      <w:r w:rsidRPr="00DA5F40">
        <w:t xml:space="preserve"> the standard reporting convention for this type of dataset and were annualized by multiplying by 52 without adjustment for subsidies, part-time attendance, or seasonal variations. Data quality flags (e.g., </w:t>
      </w:r>
      <w:proofErr w:type="spellStart"/>
      <w:r w:rsidRPr="00DA5F40">
        <w:t>MCInfant_flag</w:t>
      </w:r>
      <w:proofErr w:type="spellEnd"/>
      <w:r w:rsidRPr="00DA5F40">
        <w:t xml:space="preserve"> = 1 for directly reported values and 3 for estimated values) were accepted as valid. Missing observations, particularly Wyoming data before 2014, were excluded with the assumption that subsequent years </w:t>
      </w:r>
      <w:r w:rsidRPr="00DA5F40">
        <w:lastRenderedPageBreak/>
        <w:t xml:space="preserve">remained representative of longer-term trends. Median household income was interpreted as nominal dollars unless explicitly labeled as </w:t>
      </w:r>
      <w:proofErr w:type="gramStart"/>
      <w:r w:rsidRPr="00DA5F40">
        <w:t>inflation-adjusted</w:t>
      </w:r>
      <w:proofErr w:type="gramEnd"/>
      <w:r w:rsidRPr="00DA5F40">
        <w:t>.</w:t>
      </w:r>
    </w:p>
    <w:p w14:paraId="230DFCD2" w14:textId="77777777" w:rsidR="00DA5F40" w:rsidRPr="00DA5F40" w:rsidRDefault="00DA5F40" w:rsidP="00DA5F40">
      <w:r w:rsidRPr="00DA5F40">
        <w:t>The central narrative of this project is that childcare costs, which consume 10–14% of median household income in many areas, constitute a largely invisible economic crisis. These costs restrict women’s workforce participation, perpetuate poverty, and hit rural communities hardest. The communication strategy therefore emphasizes state-by-state comparisons to illuminate geographic disparities, connects childcare expense directly to broader economic outcomes, and advocates for expanded subsidies and tax credits. The core message is straightforward: affordable childcare is not merely a family issue; it is an economic necessity that can empower parents, strengthen local economies, and improve community well-being.</w:t>
      </w:r>
    </w:p>
    <w:p w14:paraId="6AA8C1F4" w14:textId="77777777" w:rsidR="00DA5F40" w:rsidRPr="00DA5F40" w:rsidRDefault="00DA5F40" w:rsidP="00DA5F40">
      <w:r w:rsidRPr="00DA5F40">
        <w:t>The primary audience consists of state and federal policymakers who shape childcare subsidy programs and who respond favorably to concise, evidence-based arguments. A secondary audience includes working parents aged 25–45 with middle incomes who can use the findings for advocacy, as well as researchers examining socioeconomic trends. All audiences are assumed to be data-literate, active on digital platforms, and receptive to clear, actionable insights.</w:t>
      </w:r>
    </w:p>
    <w:p w14:paraId="67259A49" w14:textId="73C808E7" w:rsidR="00DA5F40" w:rsidRPr="00DA5F40" w:rsidRDefault="00DA5F40" w:rsidP="00DA5F40">
      <w:r w:rsidRPr="00DA5F40">
        <w:t xml:space="preserve">Three distinct mediums were developed to reach these audiences effectively. A six-slide PowerPoint presentation was created for policymakers, offering a concise ten-minute briefing supported by bar charts, scatter plots, and line graphs that highlight cost burdens and economic </w:t>
      </w:r>
      <w:proofErr w:type="gramStart"/>
      <w:r w:rsidRPr="00DA5F40">
        <w:t>consequences</w:t>
      </w:r>
      <w:proofErr w:type="gramEnd"/>
      <w:r w:rsidRPr="00DA5F40">
        <w:t xml:space="preserve"> an ideal format for legislative or committee settings. An infographic optimized for social media (X and Instagram) was designed for parents, featuring a color-coded U.S. map and simple pie chart to make the crisis immediately relatable and shareable. Finally, an interactive Tableau dashboard was built for researchers and technically oriented policymakers, allowing users to filter by state, year, and care type to explore trends and correlations in depth.</w:t>
      </w:r>
    </w:p>
    <w:p w14:paraId="289CCAE5" w14:textId="77777777" w:rsidR="00DA5F40" w:rsidRPr="00DA5F40" w:rsidRDefault="00DA5F40" w:rsidP="00DA5F40">
      <w:r w:rsidRPr="00DA5F40">
        <w:t>Design choices were guided by audience needs and medium constraints. The PowerPoint employs a blue-and-white color scheme to convey trust and clarity, uses Calibri typeface at 24–32 pt for titles and 18–20 pt for body text, and limits slides 3 and 4 to the ten most populous states (displayed with state abbreviations and external legends) to prevent visual clutter. The infographic uses a red-blue palette for urgency and recognition, incorporates family and money icons for emotional resonance, and maintains generous margins for mobile viewing. The Tableau dashboard adopts a clean gray-white theme with consistent blue and orange accents across all visuals to ensure professional readability and intuitive navigation.</w:t>
      </w:r>
    </w:p>
    <w:p w14:paraId="22208E02" w14:textId="77777777" w:rsidR="00DA5F40" w:rsidRPr="00DA5F40" w:rsidRDefault="00DA5F40" w:rsidP="00DA5F40">
      <w:r w:rsidRPr="00DA5F40">
        <w:lastRenderedPageBreak/>
        <w:t>Several ethical considerations arose during the project. Columns were converted to numeric format and rows with missing critical values were dropped without always labeling those exclusions in the final visuals. Costs were annualized using a 52-week multiplier, and visualizations on slides 3 and 4 were restricted to the ten largest states by population, potentially underrepresenting smaller or rural jurisdictions. Although the data appear to be anonymized public records, the limited sample lacked full metadata, and flag meanings remained undocumented. To mitigate these concerns, future versions would include explicit disclaimers about filtered data, missing observations, and state selection, while pursuing the complete dataset and original documentation for greater transparency.</w:t>
      </w:r>
    </w:p>
    <w:p w14:paraId="55F49BE5" w14:textId="77777777" w:rsidR="00DA5F40" w:rsidRPr="00DA5F40" w:rsidRDefault="00DA5F40" w:rsidP="00DA5F40">
      <w:r w:rsidRPr="00DA5F40">
        <w:t xml:space="preserve">Reflecting on the project, the most valuable lesson was the importance of labeling data transformations and filtering decisions directly on visualizations. In future work, I would secure the full dataset from the outset and annotate every exclusion or subset clearly. Despite these challenges, the process was deeply rewarding. Transforming raw numbers into an infographic that parents could immediately understand and share felt </w:t>
      </w:r>
      <w:proofErr w:type="gramStart"/>
      <w:r w:rsidRPr="00DA5F40">
        <w:t>meaningful, and</w:t>
      </w:r>
      <w:proofErr w:type="gramEnd"/>
      <w:r w:rsidRPr="00DA5F40">
        <w:t xml:space="preserve"> watching the –0.43 correlation between unemployment and women’s workforce participation emerge in the scatter plot was a powerful reminder of how data can illuminate real human stories.</w:t>
      </w:r>
    </w:p>
    <w:p w14:paraId="52A572A2" w14:textId="77777777" w:rsidR="0000456F" w:rsidRDefault="0000456F"/>
    <w:sectPr w:rsidR="0000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40"/>
    <w:rsid w:val="0000456F"/>
    <w:rsid w:val="006508D4"/>
    <w:rsid w:val="00654F9D"/>
    <w:rsid w:val="00785A98"/>
    <w:rsid w:val="00907EC0"/>
    <w:rsid w:val="00AF3056"/>
    <w:rsid w:val="00DA5F40"/>
    <w:rsid w:val="00F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76A0"/>
  <w15:chartTrackingRefBased/>
  <w15:docId w15:val="{57FEF653-7131-4445-8551-C7F0E6EE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F4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5F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5F4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5F4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5F4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F4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5F4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5F4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5F4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5F4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F40"/>
    <w:rPr>
      <w:rFonts w:eastAsiaTheme="majorEastAsia" w:cstheme="majorBidi"/>
      <w:color w:val="272727" w:themeColor="text1" w:themeTint="D8"/>
    </w:rPr>
  </w:style>
  <w:style w:type="paragraph" w:styleId="Title">
    <w:name w:val="Title"/>
    <w:basedOn w:val="Normal"/>
    <w:next w:val="Normal"/>
    <w:link w:val="TitleChar"/>
    <w:uiPriority w:val="10"/>
    <w:qFormat/>
    <w:rsid w:val="00DA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F40"/>
    <w:pPr>
      <w:spacing w:before="160"/>
      <w:jc w:val="center"/>
    </w:pPr>
    <w:rPr>
      <w:i/>
      <w:iCs/>
      <w:color w:val="404040" w:themeColor="text1" w:themeTint="BF"/>
    </w:rPr>
  </w:style>
  <w:style w:type="character" w:customStyle="1" w:styleId="QuoteChar">
    <w:name w:val="Quote Char"/>
    <w:basedOn w:val="DefaultParagraphFont"/>
    <w:link w:val="Quote"/>
    <w:uiPriority w:val="29"/>
    <w:rsid w:val="00DA5F40"/>
    <w:rPr>
      <w:i/>
      <w:iCs/>
      <w:color w:val="404040" w:themeColor="text1" w:themeTint="BF"/>
    </w:rPr>
  </w:style>
  <w:style w:type="paragraph" w:styleId="ListParagraph">
    <w:name w:val="List Paragraph"/>
    <w:basedOn w:val="Normal"/>
    <w:uiPriority w:val="34"/>
    <w:qFormat/>
    <w:rsid w:val="00DA5F40"/>
    <w:pPr>
      <w:ind w:left="720"/>
      <w:contextualSpacing/>
    </w:pPr>
  </w:style>
  <w:style w:type="character" w:styleId="IntenseEmphasis">
    <w:name w:val="Intense Emphasis"/>
    <w:basedOn w:val="DefaultParagraphFont"/>
    <w:uiPriority w:val="21"/>
    <w:qFormat/>
    <w:rsid w:val="00DA5F40"/>
    <w:rPr>
      <w:i/>
      <w:iCs/>
      <w:color w:val="2E74B5" w:themeColor="accent1" w:themeShade="BF"/>
    </w:rPr>
  </w:style>
  <w:style w:type="paragraph" w:styleId="IntenseQuote">
    <w:name w:val="Intense Quote"/>
    <w:basedOn w:val="Normal"/>
    <w:next w:val="Normal"/>
    <w:link w:val="IntenseQuoteChar"/>
    <w:uiPriority w:val="30"/>
    <w:qFormat/>
    <w:rsid w:val="00DA5F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5F40"/>
    <w:rPr>
      <w:i/>
      <w:iCs/>
      <w:color w:val="2E74B5" w:themeColor="accent1" w:themeShade="BF"/>
    </w:rPr>
  </w:style>
  <w:style w:type="character" w:styleId="IntenseReference">
    <w:name w:val="Intense Reference"/>
    <w:basedOn w:val="DefaultParagraphFont"/>
    <w:uiPriority w:val="32"/>
    <w:qFormat/>
    <w:rsid w:val="00DA5F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1</cp:revision>
  <dcterms:created xsi:type="dcterms:W3CDTF">2025-11-17T01:36:00Z</dcterms:created>
  <dcterms:modified xsi:type="dcterms:W3CDTF">2025-11-17T01:45:00Z</dcterms:modified>
</cp:coreProperties>
</file>