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BB5EFF" w14:textId="0CD3236E" w:rsidR="00D7035A" w:rsidRPr="00D7035A" w:rsidRDefault="00AE4490" w:rsidP="00D7035A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54AD3874" w14:textId="0CCAA8D3" w:rsidR="009A7FBA" w:rsidRDefault="00AE4490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14:paraId="145BAA50" w14:textId="51ABD416" w:rsidR="009A7FBA" w:rsidRDefault="009A7FBA"/>
    <w:p w14:paraId="1BA16F52" w14:textId="77777777" w:rsidR="009A7FBA" w:rsidRDefault="00AE4490">
      <w:pPr>
        <w:pStyle w:val="Heading3"/>
      </w:pPr>
      <w:r>
        <w:t>Key Decisions:</w:t>
      </w:r>
    </w:p>
    <w:p w14:paraId="5A4993ED" w14:textId="77777777" w:rsidR="009A7FBA" w:rsidRDefault="009A7FBA"/>
    <w:p w14:paraId="53BCCF93" w14:textId="1B02D9A0" w:rsidR="009A7FBA" w:rsidRDefault="00AE4490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4520DA11" w14:textId="1A3C3A2D" w:rsidR="00D7035A" w:rsidRPr="00D7035A" w:rsidRDefault="00D7035A" w:rsidP="00D70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  <w:lang w:val="en-GB"/>
        </w:rPr>
        <w:t>P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  <w:lang w:val="en-GB"/>
        </w:rPr>
        <w:t xml:space="preserve">erform an analysis to recommend the city for </w:t>
      </w:r>
      <w:proofErr w:type="spellStart"/>
      <w:r w:rsidRPr="00D7035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  <w:lang w:val="en-GB"/>
        </w:rPr>
        <w:t>Pawdacity’s</w:t>
      </w:r>
      <w:proofErr w:type="spellEnd"/>
      <w:r w:rsidRPr="00D7035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  <w:lang w:val="en-GB"/>
        </w:rPr>
        <w:t xml:space="preserve"> newest store, based on 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highlight w:val="yellow"/>
          <w:shd w:val="clear" w:color="auto" w:fill="FFFFFF"/>
          <w:lang w:val="en-GB"/>
        </w:rPr>
        <w:t>predicted yearly sales.</w:t>
      </w:r>
    </w:p>
    <w:p w14:paraId="57639E79" w14:textId="77777777" w:rsidR="00D7035A" w:rsidRPr="00D7035A" w:rsidRDefault="00D7035A" w:rsidP="00D7035A">
      <w:pPr>
        <w:contextualSpacing/>
        <w:rPr>
          <w:lang w:val="en-GB"/>
        </w:rPr>
      </w:pPr>
    </w:p>
    <w:p w14:paraId="0D742A80" w14:textId="77777777" w:rsidR="009A7FBA" w:rsidRDefault="009A7FBA"/>
    <w:p w14:paraId="3C8F19C9" w14:textId="23C36F83" w:rsidR="009A7FBA" w:rsidRDefault="00AE449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1B99A91E" w14:textId="47F435BF" w:rsidR="00D7035A" w:rsidRDefault="00D7035A" w:rsidP="00D7035A">
      <w:pPr>
        <w:contextualSpacing/>
      </w:pPr>
    </w:p>
    <w:p w14:paraId="3AC04C4B" w14:textId="14736AA3" w:rsidR="00D7035A" w:rsidRDefault="00D7035A" w:rsidP="00D70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GB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t xml:space="preserve">Dataset with the following columns: </w:t>
      </w:r>
    </w:p>
    <w:p w14:paraId="2ACEA4DD" w14:textId="535EBBD8" w:rsidR="00D7035A" w:rsidRPr="00D7035A" w:rsidRDefault="00D7035A" w:rsidP="00D70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City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br/>
      </w: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2010 Census Population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br/>
      </w: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 xml:space="preserve">Total </w:t>
      </w:r>
      <w:proofErr w:type="spellStart"/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Pawdacity</w:t>
      </w:r>
      <w:proofErr w:type="spellEnd"/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 xml:space="preserve"> Sales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br/>
      </w: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Households with Under 18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br/>
      </w: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Land Area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br/>
      </w: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Population Density</w:t>
      </w:r>
      <w:r w:rsidRPr="00D7035A">
        <w:rPr>
          <w:rFonts w:ascii="Open Sans" w:eastAsia="Times New Roman" w:hAnsi="Open Sans" w:cs="Open Sans"/>
          <w:color w:val="4F4F4F"/>
          <w:sz w:val="24"/>
          <w:szCs w:val="24"/>
          <w:lang w:val="en-GB"/>
        </w:rPr>
        <w:br/>
      </w:r>
      <w:r w:rsidRPr="00D7035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en-GB"/>
        </w:rPr>
        <w:t>Total Families</w:t>
      </w:r>
    </w:p>
    <w:p w14:paraId="7EBEAD7C" w14:textId="77777777" w:rsidR="00D7035A" w:rsidRPr="00D7035A" w:rsidRDefault="00D7035A" w:rsidP="00D7035A">
      <w:pPr>
        <w:contextualSpacing/>
        <w:rPr>
          <w:lang w:val="en-GB"/>
        </w:rPr>
      </w:pPr>
    </w:p>
    <w:p w14:paraId="58DD1114" w14:textId="77777777" w:rsidR="009A7FBA" w:rsidRDefault="00AE449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0F77D99F" w14:textId="26F21C2D" w:rsidR="009A7FBA" w:rsidRDefault="00AE449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  <w:r w:rsidR="00D7035A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</w:p>
    <w:p w14:paraId="03E45041" w14:textId="77777777" w:rsidR="009A7FBA" w:rsidRDefault="009A7FBA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9A7FBA" w14:paraId="68798C75" w14:textId="77777777">
        <w:tc>
          <w:tcPr>
            <w:tcW w:w="2718" w:type="dxa"/>
          </w:tcPr>
          <w:p w14:paraId="68E77686" w14:textId="77777777" w:rsidR="009A7FBA" w:rsidRDefault="00AE449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12BAD344" w14:textId="77777777" w:rsidR="009A7FBA" w:rsidRDefault="00AE449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2447905A" w14:textId="77777777" w:rsidR="009A7FBA" w:rsidRDefault="00AE449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9A7FBA" w14:paraId="48A19F23" w14:textId="77777777">
        <w:tc>
          <w:tcPr>
            <w:tcW w:w="2718" w:type="dxa"/>
          </w:tcPr>
          <w:p w14:paraId="1A0E5473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32CA817E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1DD67DB7" w14:textId="54530B65" w:rsidR="009A7FBA" w:rsidRDefault="00EB1581">
            <w:pPr>
              <w:spacing w:line="276" w:lineRule="auto"/>
              <w:rPr>
                <w:i/>
                <w:sz w:val="20"/>
                <w:szCs w:val="20"/>
              </w:rPr>
            </w:pPr>
            <w:r w:rsidRPr="00EB1581">
              <w:rPr>
                <w:i/>
                <w:sz w:val="20"/>
                <w:szCs w:val="20"/>
              </w:rPr>
              <w:t>19442.00</w:t>
            </w:r>
          </w:p>
        </w:tc>
      </w:tr>
      <w:tr w:rsidR="009A7FBA" w14:paraId="256B96D0" w14:textId="77777777">
        <w:tc>
          <w:tcPr>
            <w:tcW w:w="2718" w:type="dxa"/>
          </w:tcPr>
          <w:p w14:paraId="7B62CA64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17FB65E0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22800C7B" w14:textId="219E2DB1" w:rsidR="009A7FBA" w:rsidRDefault="00EB1581">
            <w:pPr>
              <w:spacing w:line="276" w:lineRule="auto"/>
              <w:rPr>
                <w:i/>
                <w:sz w:val="20"/>
                <w:szCs w:val="20"/>
              </w:rPr>
            </w:pPr>
            <w:r w:rsidRPr="00EB1581">
              <w:rPr>
                <w:i/>
                <w:sz w:val="20"/>
                <w:szCs w:val="20"/>
              </w:rPr>
              <w:t>343027.64</w:t>
            </w:r>
          </w:p>
        </w:tc>
      </w:tr>
      <w:tr w:rsidR="009A7FBA" w14:paraId="232D9592" w14:textId="77777777">
        <w:tc>
          <w:tcPr>
            <w:tcW w:w="2718" w:type="dxa"/>
          </w:tcPr>
          <w:p w14:paraId="2B857205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3973F618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30B4CD1D" w14:textId="71956211" w:rsidR="009A7FBA" w:rsidRDefault="00EB1581">
            <w:pPr>
              <w:spacing w:line="276" w:lineRule="auto"/>
              <w:rPr>
                <w:i/>
                <w:sz w:val="20"/>
                <w:szCs w:val="20"/>
              </w:rPr>
            </w:pPr>
            <w:r w:rsidRPr="00EB1581">
              <w:rPr>
                <w:i/>
                <w:sz w:val="20"/>
                <w:szCs w:val="20"/>
              </w:rPr>
              <w:t>3096.73</w:t>
            </w:r>
          </w:p>
        </w:tc>
      </w:tr>
      <w:tr w:rsidR="009A7FBA" w14:paraId="4BBC07B2" w14:textId="77777777">
        <w:tc>
          <w:tcPr>
            <w:tcW w:w="2718" w:type="dxa"/>
          </w:tcPr>
          <w:p w14:paraId="26CFD92F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0ECB9D12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34556979" w14:textId="634DD5A7" w:rsidR="009A7FBA" w:rsidRDefault="00EB1581">
            <w:pPr>
              <w:spacing w:line="276" w:lineRule="auto"/>
              <w:rPr>
                <w:i/>
                <w:sz w:val="20"/>
                <w:szCs w:val="20"/>
              </w:rPr>
            </w:pPr>
            <w:r w:rsidRPr="00EB1581">
              <w:rPr>
                <w:i/>
                <w:sz w:val="20"/>
                <w:szCs w:val="20"/>
              </w:rPr>
              <w:t>3006.45</w:t>
            </w:r>
          </w:p>
        </w:tc>
      </w:tr>
      <w:tr w:rsidR="009A7FBA" w14:paraId="192354A2" w14:textId="77777777">
        <w:tc>
          <w:tcPr>
            <w:tcW w:w="2718" w:type="dxa"/>
          </w:tcPr>
          <w:p w14:paraId="07800F1C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56D057AC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11C04BA9" w14:textId="247DA964" w:rsidR="009A7FBA" w:rsidRDefault="00EB1581">
            <w:pPr>
              <w:spacing w:line="276" w:lineRule="auto"/>
              <w:rPr>
                <w:i/>
                <w:sz w:val="20"/>
                <w:szCs w:val="20"/>
              </w:rPr>
            </w:pPr>
            <w:r w:rsidRPr="00EB1581">
              <w:rPr>
                <w:i/>
                <w:sz w:val="20"/>
                <w:szCs w:val="20"/>
              </w:rPr>
              <w:t>5.73</w:t>
            </w:r>
          </w:p>
        </w:tc>
      </w:tr>
      <w:tr w:rsidR="009A7FBA" w14:paraId="04688E45" w14:textId="77777777">
        <w:tc>
          <w:tcPr>
            <w:tcW w:w="2718" w:type="dxa"/>
          </w:tcPr>
          <w:p w14:paraId="7B729434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75AC886C" w14:textId="77777777" w:rsidR="009A7FBA" w:rsidRDefault="00AE449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76FA890C" w14:textId="2EB5EDF0" w:rsidR="009A7FBA" w:rsidRDefault="00EB1581">
            <w:pPr>
              <w:spacing w:line="276" w:lineRule="auto"/>
              <w:rPr>
                <w:i/>
                <w:sz w:val="20"/>
                <w:szCs w:val="20"/>
              </w:rPr>
            </w:pPr>
            <w:r w:rsidRPr="00EB1581">
              <w:rPr>
                <w:i/>
                <w:sz w:val="20"/>
                <w:szCs w:val="20"/>
              </w:rPr>
              <w:t>5695.73</w:t>
            </w:r>
          </w:p>
        </w:tc>
      </w:tr>
    </w:tbl>
    <w:p w14:paraId="3A2698C0" w14:textId="77777777" w:rsidR="009A7FBA" w:rsidRDefault="009A7FBA">
      <w:pPr>
        <w:rPr>
          <w:i/>
          <w:sz w:val="20"/>
          <w:szCs w:val="20"/>
        </w:rPr>
      </w:pPr>
    </w:p>
    <w:p w14:paraId="75BED39D" w14:textId="77777777" w:rsidR="009A7FBA" w:rsidRDefault="00AE4490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25EB614E" w14:textId="77777777" w:rsidR="009A7FBA" w:rsidRDefault="009A7FBA">
      <w:pPr>
        <w:rPr>
          <w:i/>
          <w:sz w:val="20"/>
          <w:szCs w:val="20"/>
        </w:rPr>
      </w:pPr>
    </w:p>
    <w:p w14:paraId="3416D9B1" w14:textId="77777777" w:rsidR="00D7035A" w:rsidRDefault="00AE4490">
      <w:r>
        <w:t xml:space="preserve">Are there any cities that are outliers in the training set? </w:t>
      </w:r>
    </w:p>
    <w:p w14:paraId="7AD4029C" w14:textId="77777777" w:rsidR="00D7035A" w:rsidRDefault="00D7035A"/>
    <w:p w14:paraId="5200AEAC" w14:textId="6BAA2ED8" w:rsidR="009A7FBA" w:rsidRDefault="00AE4490">
      <w:r>
        <w:t xml:space="preserve">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7F39E54E" w14:textId="77777777" w:rsidR="009A7FBA" w:rsidRDefault="009A7FBA"/>
    <w:p w14:paraId="3D32E331" w14:textId="41C001A5" w:rsidR="00EB1581" w:rsidRPr="00EB1581" w:rsidRDefault="00EB1581" w:rsidP="00EB1581">
      <w:r>
        <w:t xml:space="preserve">I used </w:t>
      </w:r>
      <w:r w:rsidRPr="00EB1581">
        <w:t>the IQR method to determine if there are outlier cities for each of the variable</w:t>
      </w:r>
    </w:p>
    <w:p w14:paraId="100D98EA" w14:textId="77777777" w:rsidR="00456F24" w:rsidRDefault="00EB1581">
      <w:pPr>
        <w:rPr>
          <w:lang w:val="en-GB"/>
        </w:rPr>
      </w:pPr>
      <w:r>
        <w:rPr>
          <w:lang w:val="en-GB"/>
        </w:rPr>
        <w:t xml:space="preserve">Details in excel sheet. </w:t>
      </w:r>
      <w:proofErr w:type="spellStart"/>
      <w:r>
        <w:rPr>
          <w:lang w:val="en-GB"/>
        </w:rPr>
        <w:t>Cheynne</w:t>
      </w:r>
      <w:proofErr w:type="spellEnd"/>
      <w:r w:rsidR="00641E72">
        <w:rPr>
          <w:lang w:val="en-GB"/>
        </w:rPr>
        <w:t xml:space="preserve"> and Gillette</w:t>
      </w:r>
      <w:r>
        <w:rPr>
          <w:lang w:val="en-GB"/>
        </w:rPr>
        <w:t xml:space="preserve"> total sales </w:t>
      </w:r>
      <w:r w:rsidR="00641E72">
        <w:rPr>
          <w:lang w:val="en-GB"/>
        </w:rPr>
        <w:t>were</w:t>
      </w:r>
      <w:r>
        <w:rPr>
          <w:lang w:val="en-GB"/>
        </w:rPr>
        <w:t xml:space="preserve"> outlier</w:t>
      </w:r>
      <w:r w:rsidR="00641E72">
        <w:rPr>
          <w:lang w:val="en-GB"/>
        </w:rPr>
        <w:t>s</w:t>
      </w:r>
      <w:r>
        <w:rPr>
          <w:lang w:val="en-GB"/>
        </w:rPr>
        <w:t xml:space="preserve">. </w:t>
      </w:r>
    </w:p>
    <w:p w14:paraId="2110D4B8" w14:textId="77777777" w:rsidR="00456F24" w:rsidRDefault="00456F24">
      <w:pPr>
        <w:rPr>
          <w:lang w:val="en-GB"/>
        </w:rPr>
      </w:pPr>
    </w:p>
    <w:p w14:paraId="7F6BB8B8" w14:textId="7B472B31" w:rsidR="00641E72" w:rsidRDefault="00821D4A">
      <w:pPr>
        <w:rPr>
          <w:lang w:val="en-GB"/>
        </w:rPr>
      </w:pPr>
      <w:r>
        <w:rPr>
          <w:lang w:val="en-GB"/>
        </w:rPr>
        <w:t>I have removed one outlier</w:t>
      </w:r>
      <w:r w:rsidR="00641E72">
        <w:rPr>
          <w:lang w:val="en-GB"/>
        </w:rPr>
        <w:t xml:space="preserve">, </w:t>
      </w:r>
      <w:proofErr w:type="spellStart"/>
      <w:r w:rsidR="00456F24">
        <w:rPr>
          <w:lang w:val="en-GB"/>
        </w:rPr>
        <w:t>Cheynne</w:t>
      </w:r>
      <w:proofErr w:type="spellEnd"/>
      <w:r w:rsidR="00456F24">
        <w:rPr>
          <w:lang w:val="en-GB"/>
        </w:rPr>
        <w:t xml:space="preserve">, </w:t>
      </w:r>
      <w:r w:rsidR="00872210">
        <w:rPr>
          <w:lang w:val="en-GB"/>
        </w:rPr>
        <w:t>with the filter tool.</w:t>
      </w:r>
      <w:r w:rsidR="00456F24">
        <w:rPr>
          <w:lang w:val="en-GB"/>
        </w:rPr>
        <w:t xml:space="preserve"> This is due to that </w:t>
      </w:r>
      <w:proofErr w:type="spellStart"/>
      <w:r w:rsidR="00FD6DE1">
        <w:rPr>
          <w:lang w:val="en-GB"/>
        </w:rPr>
        <w:t>Cheynne</w:t>
      </w:r>
      <w:proofErr w:type="spellEnd"/>
      <w:r w:rsidR="00FD6DE1">
        <w:rPr>
          <w:lang w:val="en-GB"/>
        </w:rPr>
        <w:t xml:space="preserve"> had much larger difference with the other cities on sales than Gillette. </w:t>
      </w:r>
      <w:proofErr w:type="spellStart"/>
      <w:r w:rsidR="00FD6DE1">
        <w:rPr>
          <w:lang w:val="en-GB"/>
        </w:rPr>
        <w:t>Cheynne</w:t>
      </w:r>
      <w:proofErr w:type="spellEnd"/>
      <w:r w:rsidR="00FD6DE1">
        <w:rPr>
          <w:lang w:val="en-GB"/>
        </w:rPr>
        <w:t xml:space="preserve"> had </w:t>
      </w:r>
      <w:r w:rsidR="009C35A0">
        <w:rPr>
          <w:lang w:val="en-GB"/>
        </w:rPr>
        <w:t xml:space="preserve">similar levels of other fields with </w:t>
      </w:r>
      <w:proofErr w:type="spellStart"/>
      <w:r w:rsidR="009C35A0">
        <w:rPr>
          <w:lang w:val="en-GB"/>
        </w:rPr>
        <w:t>Gilette</w:t>
      </w:r>
      <w:proofErr w:type="spellEnd"/>
      <w:r w:rsidR="009C35A0">
        <w:rPr>
          <w:lang w:val="en-GB"/>
        </w:rPr>
        <w:t xml:space="preserve"> with the exception of total families. It is better to remove </w:t>
      </w:r>
      <w:proofErr w:type="spellStart"/>
      <w:r w:rsidR="009C35A0">
        <w:rPr>
          <w:lang w:val="en-GB"/>
        </w:rPr>
        <w:t>Cheynne</w:t>
      </w:r>
      <w:proofErr w:type="spellEnd"/>
      <w:r w:rsidR="009C35A0">
        <w:rPr>
          <w:lang w:val="en-GB"/>
        </w:rPr>
        <w:t xml:space="preserve"> because its irregularities compared to others. </w:t>
      </w:r>
      <w:r w:rsidR="009C6A62">
        <w:rPr>
          <w:lang w:val="en-GB"/>
        </w:rPr>
        <w:t xml:space="preserve">Please refer to Charts in excel document. </w:t>
      </w:r>
    </w:p>
    <w:p w14:paraId="58F55DEF" w14:textId="77777777" w:rsidR="00641E72" w:rsidRDefault="00641E72">
      <w:pPr>
        <w:rPr>
          <w:lang w:val="en-GB"/>
        </w:rPr>
      </w:pPr>
    </w:p>
    <w:p w14:paraId="584649D8" w14:textId="77777777" w:rsidR="00EB1581" w:rsidRPr="00EB1581" w:rsidRDefault="00EB1581">
      <w:pPr>
        <w:rPr>
          <w:lang w:val="en-GB"/>
        </w:rPr>
      </w:pPr>
    </w:p>
    <w:sectPr w:rsidR="00EB1581" w:rsidRPr="00EB15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709C" w14:textId="77777777" w:rsidR="002A3907" w:rsidRDefault="002A3907" w:rsidP="00D7035A">
      <w:pPr>
        <w:spacing w:line="240" w:lineRule="auto"/>
      </w:pPr>
      <w:r>
        <w:separator/>
      </w:r>
    </w:p>
  </w:endnote>
  <w:endnote w:type="continuationSeparator" w:id="0">
    <w:p w14:paraId="023F438C" w14:textId="77777777" w:rsidR="002A3907" w:rsidRDefault="002A3907" w:rsidP="00D70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EE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D1F8" w14:textId="77777777" w:rsidR="00D7035A" w:rsidRDefault="00D70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683F0" w14:textId="77777777" w:rsidR="00D7035A" w:rsidRDefault="00D70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418AF" w14:textId="77777777" w:rsidR="00D7035A" w:rsidRDefault="00D70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19E51" w14:textId="77777777" w:rsidR="002A3907" w:rsidRDefault="002A3907" w:rsidP="00D7035A">
      <w:pPr>
        <w:spacing w:line="240" w:lineRule="auto"/>
      </w:pPr>
      <w:r>
        <w:separator/>
      </w:r>
    </w:p>
  </w:footnote>
  <w:footnote w:type="continuationSeparator" w:id="0">
    <w:p w14:paraId="7B735DC9" w14:textId="77777777" w:rsidR="002A3907" w:rsidRDefault="002A3907" w:rsidP="00D70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CC8D" w14:textId="77777777" w:rsidR="00D7035A" w:rsidRDefault="00D70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4F12" w14:textId="77777777" w:rsidR="00D7035A" w:rsidRDefault="00D703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18D96" w14:textId="77777777" w:rsidR="00D7035A" w:rsidRDefault="00D70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27313"/>
    <w:multiLevelType w:val="multilevel"/>
    <w:tmpl w:val="FD18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33C81"/>
    <w:multiLevelType w:val="multilevel"/>
    <w:tmpl w:val="C9AEB9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FBA"/>
    <w:rsid w:val="002A3907"/>
    <w:rsid w:val="00456F24"/>
    <w:rsid w:val="00544447"/>
    <w:rsid w:val="00641E72"/>
    <w:rsid w:val="00821D4A"/>
    <w:rsid w:val="00872210"/>
    <w:rsid w:val="0088200B"/>
    <w:rsid w:val="009A7FBA"/>
    <w:rsid w:val="009C35A0"/>
    <w:rsid w:val="009C6A62"/>
    <w:rsid w:val="00AE4490"/>
    <w:rsid w:val="00D7035A"/>
    <w:rsid w:val="00EB1581"/>
    <w:rsid w:val="00F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50968"/>
  <w15:docId w15:val="{A1E25B6A-086F-3A44-93A5-EB1AA9E5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03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5A"/>
  </w:style>
  <w:style w:type="paragraph" w:styleId="Footer">
    <w:name w:val="footer"/>
    <w:basedOn w:val="Normal"/>
    <w:link w:val="FooterChar"/>
    <w:uiPriority w:val="99"/>
    <w:unhideWhenUsed/>
    <w:rsid w:val="00D703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5A"/>
  </w:style>
  <w:style w:type="paragraph" w:styleId="ListParagraph">
    <w:name w:val="List Paragraph"/>
    <w:basedOn w:val="Normal"/>
    <w:uiPriority w:val="34"/>
    <w:qFormat/>
    <w:rsid w:val="00D703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0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Chen</cp:lastModifiedBy>
  <cp:revision>10</cp:revision>
  <dcterms:created xsi:type="dcterms:W3CDTF">2020-12-25T17:38:00Z</dcterms:created>
  <dcterms:modified xsi:type="dcterms:W3CDTF">2020-12-27T10:33:00Z</dcterms:modified>
</cp:coreProperties>
</file>