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765BA5">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765BA5">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xml:space="preserve">, а также разработано приложение для </w:t>
      </w:r>
      <w:r w:rsidR="00341899">
        <w:t>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p>
    <w:p w:rsidR="009C2BD4" w:rsidRPr="009C2BD4" w:rsidRDefault="009C2BD4" w:rsidP="009C2BD4">
      <w:pPr>
        <w:rPr>
          <w:color w:val="FF0000"/>
        </w:rPr>
      </w:pPr>
      <w:r w:rsidRPr="009C2BD4">
        <w:rPr>
          <w:color w:val="FF0000"/>
        </w:rPr>
        <w:t xml:space="preserve">Реализовано приложение-анализатор изученных протоколов, позволяющее производить захват и анализ полей заголовков </w:t>
      </w:r>
      <w:r w:rsidRPr="009C2BD4">
        <w:rPr>
          <w:color w:val="FF0000"/>
          <w:lang w:val="en-US"/>
        </w:rPr>
        <w:t>IP</w:t>
      </w:r>
      <w:r w:rsidRPr="009C2BD4">
        <w:rPr>
          <w:color w:val="FF0000"/>
        </w:rPr>
        <w:t xml:space="preserve">-пакетов, </w:t>
      </w:r>
      <w:r w:rsidRPr="009C2BD4">
        <w:rPr>
          <w:color w:val="FF0000"/>
          <w:lang w:val="en-US"/>
        </w:rPr>
        <w:t>UDP</w:t>
      </w:r>
      <w:r w:rsidRPr="009C2BD4">
        <w:rPr>
          <w:color w:val="FF0000"/>
        </w:rPr>
        <w:t xml:space="preserve">-дейтаграмм, </w:t>
      </w:r>
      <w:r w:rsidRPr="009C2BD4">
        <w:rPr>
          <w:color w:val="FF0000"/>
          <w:lang w:val="en-US"/>
        </w:rPr>
        <w:t>TCP</w:t>
      </w:r>
      <w:r w:rsidRPr="009C2BD4">
        <w:rPr>
          <w:color w:val="FF0000"/>
        </w:rPr>
        <w:t xml:space="preserve">-сегментов и </w:t>
      </w:r>
      <w:r w:rsidRPr="009C2BD4">
        <w:rPr>
          <w:color w:val="FF0000"/>
          <w:lang w:val="en-US"/>
        </w:rPr>
        <w:t>ICMP</w:t>
      </w:r>
      <w:r w:rsidRPr="009C2BD4">
        <w:rPr>
          <w:color w:val="FF0000"/>
        </w:rPr>
        <w:t>-сообщений. Организован вывод результатов обработки захвата и сохранение результатов обработки в файл.</w:t>
      </w:r>
    </w:p>
    <w:p w:rsidR="009C2BD4" w:rsidRDefault="009C2BD4" w:rsidP="003C7522"/>
    <w:p w:rsidR="000527BA" w:rsidRPr="00734E40" w:rsidRDefault="00734E40" w:rsidP="00673756">
      <w:pPr>
        <w:pStyle w:val="1"/>
        <w:numPr>
          <w:ilvl w:val="0"/>
          <w:numId w:val="0"/>
        </w:numPr>
      </w:pPr>
      <w:bookmarkStart w:id="0" w:name="_Toc501975504"/>
      <w:r w:rsidRPr="00734E40">
        <w:lastRenderedPageBreak/>
        <w:t>Содержание</w:t>
      </w:r>
      <w:bookmarkEnd w:id="0"/>
    </w:p>
    <w:p w:rsidR="002E5AC6"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1975504" w:history="1">
        <w:r w:rsidR="002E5AC6" w:rsidRPr="00E6171B">
          <w:rPr>
            <w:rStyle w:val="ae"/>
            <w:noProof/>
          </w:rPr>
          <w:t>Содержание</w:t>
        </w:r>
        <w:r w:rsidR="002E5AC6">
          <w:rPr>
            <w:noProof/>
            <w:webHidden/>
          </w:rPr>
          <w:tab/>
        </w:r>
        <w:r w:rsidR="002E5AC6">
          <w:rPr>
            <w:noProof/>
            <w:webHidden/>
          </w:rPr>
          <w:fldChar w:fldCharType="begin"/>
        </w:r>
        <w:r w:rsidR="002E5AC6">
          <w:rPr>
            <w:noProof/>
            <w:webHidden/>
          </w:rPr>
          <w:instrText xml:space="preserve"> PAGEREF _Toc501975504 \h </w:instrText>
        </w:r>
        <w:r w:rsidR="002E5AC6">
          <w:rPr>
            <w:noProof/>
            <w:webHidden/>
          </w:rPr>
        </w:r>
        <w:r w:rsidR="002E5AC6">
          <w:rPr>
            <w:noProof/>
            <w:webHidden/>
          </w:rPr>
          <w:fldChar w:fldCharType="separate"/>
        </w:r>
        <w:r w:rsidR="002E5AC6">
          <w:rPr>
            <w:noProof/>
            <w:webHidden/>
          </w:rPr>
          <w:t>4</w:t>
        </w:r>
        <w:r w:rsidR="002E5AC6">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05" w:history="1">
        <w:r w:rsidRPr="00E6171B">
          <w:rPr>
            <w:rStyle w:val="ae"/>
            <w:noProof/>
          </w:rPr>
          <w:t>Введение</w:t>
        </w:r>
        <w:r>
          <w:rPr>
            <w:noProof/>
            <w:webHidden/>
          </w:rPr>
          <w:tab/>
        </w:r>
        <w:r>
          <w:rPr>
            <w:noProof/>
            <w:webHidden/>
          </w:rPr>
          <w:fldChar w:fldCharType="begin"/>
        </w:r>
        <w:r>
          <w:rPr>
            <w:noProof/>
            <w:webHidden/>
          </w:rPr>
          <w:instrText xml:space="preserve"> PAGEREF _Toc501975505 \h </w:instrText>
        </w:r>
        <w:r>
          <w:rPr>
            <w:noProof/>
            <w:webHidden/>
          </w:rPr>
        </w:r>
        <w:r>
          <w:rPr>
            <w:noProof/>
            <w:webHidden/>
          </w:rPr>
          <w:fldChar w:fldCharType="separate"/>
        </w:r>
        <w:r>
          <w:rPr>
            <w:noProof/>
            <w:webHidden/>
          </w:rPr>
          <w:t>5</w:t>
        </w:r>
        <w:r>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06" w:history="1">
        <w:r w:rsidRPr="00E6171B">
          <w:rPr>
            <w:rStyle w:val="ae"/>
            <w:noProof/>
          </w:rPr>
          <w:t>1.</w:t>
        </w:r>
        <w:r>
          <w:rPr>
            <w:rFonts w:asciiTheme="minorHAnsi" w:eastAsiaTheme="minorEastAsia" w:hAnsiTheme="minorHAnsi" w:cstheme="minorBidi"/>
            <w:noProof/>
            <w:sz w:val="22"/>
            <w:szCs w:val="22"/>
            <w:lang w:eastAsia="ru-RU"/>
          </w:rPr>
          <w:tab/>
        </w:r>
        <w:r w:rsidRPr="00E6171B">
          <w:rPr>
            <w:rStyle w:val="ae"/>
            <w:noProof/>
          </w:rPr>
          <w:t>АНАЛИТИЧЕСКАЯ ЧАСТЬ</w:t>
        </w:r>
        <w:r>
          <w:rPr>
            <w:noProof/>
            <w:webHidden/>
          </w:rPr>
          <w:tab/>
        </w:r>
        <w:r>
          <w:rPr>
            <w:noProof/>
            <w:webHidden/>
          </w:rPr>
          <w:fldChar w:fldCharType="begin"/>
        </w:r>
        <w:r>
          <w:rPr>
            <w:noProof/>
            <w:webHidden/>
          </w:rPr>
          <w:instrText xml:space="preserve"> PAGEREF _Toc501975506 \h </w:instrText>
        </w:r>
        <w:r>
          <w:rPr>
            <w:noProof/>
            <w:webHidden/>
          </w:rPr>
        </w:r>
        <w:r>
          <w:rPr>
            <w:noProof/>
            <w:webHidden/>
          </w:rPr>
          <w:fldChar w:fldCharType="separate"/>
        </w:r>
        <w:r>
          <w:rPr>
            <w:noProof/>
            <w:webHidden/>
          </w:rPr>
          <w:t>6</w:t>
        </w:r>
        <w:r>
          <w:rPr>
            <w:noProof/>
            <w:webHidden/>
          </w:rPr>
          <w:fldChar w:fldCharType="end"/>
        </w:r>
      </w:hyperlink>
    </w:p>
    <w:p w:rsidR="002E5AC6" w:rsidRDefault="002E5AC6">
      <w:pPr>
        <w:pStyle w:val="21"/>
        <w:rPr>
          <w:rFonts w:asciiTheme="minorHAnsi" w:eastAsiaTheme="minorEastAsia" w:hAnsiTheme="minorHAnsi" w:cstheme="minorBidi"/>
          <w:noProof/>
          <w:sz w:val="22"/>
          <w:szCs w:val="22"/>
          <w:lang w:eastAsia="ru-RU"/>
        </w:rPr>
      </w:pPr>
      <w:hyperlink w:anchor="_Toc501975507" w:history="1">
        <w:r w:rsidRPr="00E6171B">
          <w:rPr>
            <w:rStyle w:val="ae"/>
            <w:noProof/>
          </w:rPr>
          <w:t>1.1.</w:t>
        </w:r>
        <w:r>
          <w:rPr>
            <w:rFonts w:asciiTheme="minorHAnsi" w:eastAsiaTheme="minorEastAsia" w:hAnsiTheme="minorHAnsi" w:cstheme="minorBidi"/>
            <w:noProof/>
            <w:sz w:val="22"/>
            <w:szCs w:val="22"/>
            <w:lang w:eastAsia="ru-RU"/>
          </w:rPr>
          <w:tab/>
        </w:r>
        <w:r w:rsidRPr="00E6171B">
          <w:rPr>
            <w:rStyle w:val="ae"/>
            <w:noProof/>
          </w:rPr>
          <w:t xml:space="preserve">Описание протокола </w:t>
        </w:r>
        <w:r w:rsidRPr="00E6171B">
          <w:rPr>
            <w:rStyle w:val="ae"/>
            <w:noProof/>
            <w:lang w:val="en-US"/>
          </w:rPr>
          <w:t>TCP</w:t>
        </w:r>
        <w:r>
          <w:rPr>
            <w:noProof/>
            <w:webHidden/>
          </w:rPr>
          <w:tab/>
        </w:r>
        <w:r>
          <w:rPr>
            <w:noProof/>
            <w:webHidden/>
          </w:rPr>
          <w:fldChar w:fldCharType="begin"/>
        </w:r>
        <w:r>
          <w:rPr>
            <w:noProof/>
            <w:webHidden/>
          </w:rPr>
          <w:instrText xml:space="preserve"> PAGEREF _Toc501975507 \h </w:instrText>
        </w:r>
        <w:r>
          <w:rPr>
            <w:noProof/>
            <w:webHidden/>
          </w:rPr>
        </w:r>
        <w:r>
          <w:rPr>
            <w:noProof/>
            <w:webHidden/>
          </w:rPr>
          <w:fldChar w:fldCharType="separate"/>
        </w:r>
        <w:r>
          <w:rPr>
            <w:noProof/>
            <w:webHidden/>
          </w:rPr>
          <w:t>6</w:t>
        </w:r>
        <w:r>
          <w:rPr>
            <w:noProof/>
            <w:webHidden/>
          </w:rPr>
          <w:fldChar w:fldCharType="end"/>
        </w:r>
      </w:hyperlink>
    </w:p>
    <w:p w:rsidR="002E5AC6" w:rsidRDefault="002E5AC6">
      <w:pPr>
        <w:pStyle w:val="21"/>
        <w:rPr>
          <w:rFonts w:asciiTheme="minorHAnsi" w:eastAsiaTheme="minorEastAsia" w:hAnsiTheme="minorHAnsi" w:cstheme="minorBidi"/>
          <w:noProof/>
          <w:sz w:val="22"/>
          <w:szCs w:val="22"/>
          <w:lang w:eastAsia="ru-RU"/>
        </w:rPr>
      </w:pPr>
      <w:hyperlink w:anchor="_Toc501975508" w:history="1">
        <w:r w:rsidRPr="00E6171B">
          <w:rPr>
            <w:rStyle w:val="ae"/>
            <w:noProof/>
          </w:rPr>
          <w:t>1.2.</w:t>
        </w:r>
        <w:r>
          <w:rPr>
            <w:rFonts w:asciiTheme="minorHAnsi" w:eastAsiaTheme="minorEastAsia" w:hAnsiTheme="minorHAnsi" w:cstheme="minorBidi"/>
            <w:noProof/>
            <w:sz w:val="22"/>
            <w:szCs w:val="22"/>
            <w:lang w:eastAsia="ru-RU"/>
          </w:rPr>
          <w:tab/>
        </w:r>
        <w:r w:rsidRPr="00E6171B">
          <w:rPr>
            <w:rStyle w:val="ae"/>
            <w:noProof/>
          </w:rPr>
          <w:t>Описание протокола UDP</w:t>
        </w:r>
        <w:r>
          <w:rPr>
            <w:noProof/>
            <w:webHidden/>
          </w:rPr>
          <w:tab/>
        </w:r>
        <w:r>
          <w:rPr>
            <w:noProof/>
            <w:webHidden/>
          </w:rPr>
          <w:fldChar w:fldCharType="begin"/>
        </w:r>
        <w:r>
          <w:rPr>
            <w:noProof/>
            <w:webHidden/>
          </w:rPr>
          <w:instrText xml:space="preserve"> PAGEREF _Toc501975508 \h </w:instrText>
        </w:r>
        <w:r>
          <w:rPr>
            <w:noProof/>
            <w:webHidden/>
          </w:rPr>
        </w:r>
        <w:r>
          <w:rPr>
            <w:noProof/>
            <w:webHidden/>
          </w:rPr>
          <w:fldChar w:fldCharType="separate"/>
        </w:r>
        <w:r>
          <w:rPr>
            <w:noProof/>
            <w:webHidden/>
          </w:rPr>
          <w:t>6</w:t>
        </w:r>
        <w:r>
          <w:rPr>
            <w:noProof/>
            <w:webHidden/>
          </w:rPr>
          <w:fldChar w:fldCharType="end"/>
        </w:r>
      </w:hyperlink>
    </w:p>
    <w:p w:rsidR="002E5AC6" w:rsidRDefault="002E5AC6">
      <w:pPr>
        <w:pStyle w:val="21"/>
        <w:rPr>
          <w:rFonts w:asciiTheme="minorHAnsi" w:eastAsiaTheme="minorEastAsia" w:hAnsiTheme="minorHAnsi" w:cstheme="minorBidi"/>
          <w:noProof/>
          <w:sz w:val="22"/>
          <w:szCs w:val="22"/>
          <w:lang w:eastAsia="ru-RU"/>
        </w:rPr>
      </w:pPr>
      <w:hyperlink w:anchor="_Toc501975509" w:history="1">
        <w:r w:rsidRPr="00E6171B">
          <w:rPr>
            <w:rStyle w:val="ae"/>
            <w:noProof/>
          </w:rPr>
          <w:t>1.3.</w:t>
        </w:r>
        <w:r>
          <w:rPr>
            <w:rFonts w:asciiTheme="minorHAnsi" w:eastAsiaTheme="minorEastAsia" w:hAnsiTheme="minorHAnsi" w:cstheme="minorBidi"/>
            <w:noProof/>
            <w:sz w:val="22"/>
            <w:szCs w:val="22"/>
            <w:lang w:eastAsia="ru-RU"/>
          </w:rPr>
          <w:tab/>
        </w:r>
        <w:r w:rsidRPr="00E6171B">
          <w:rPr>
            <w:rStyle w:val="ae"/>
            <w:noProof/>
          </w:rPr>
          <w:t xml:space="preserve">Описание протокола </w:t>
        </w:r>
        <w:r w:rsidRPr="00E6171B">
          <w:rPr>
            <w:rStyle w:val="ae"/>
            <w:noProof/>
            <w:lang w:val="en-US"/>
          </w:rPr>
          <w:t>DNS</w:t>
        </w:r>
        <w:r>
          <w:rPr>
            <w:noProof/>
            <w:webHidden/>
          </w:rPr>
          <w:tab/>
        </w:r>
        <w:r>
          <w:rPr>
            <w:noProof/>
            <w:webHidden/>
          </w:rPr>
          <w:fldChar w:fldCharType="begin"/>
        </w:r>
        <w:r>
          <w:rPr>
            <w:noProof/>
            <w:webHidden/>
          </w:rPr>
          <w:instrText xml:space="preserve"> PAGEREF _Toc501975509 \h </w:instrText>
        </w:r>
        <w:r>
          <w:rPr>
            <w:noProof/>
            <w:webHidden/>
          </w:rPr>
        </w:r>
        <w:r>
          <w:rPr>
            <w:noProof/>
            <w:webHidden/>
          </w:rPr>
          <w:fldChar w:fldCharType="separate"/>
        </w:r>
        <w:r>
          <w:rPr>
            <w:noProof/>
            <w:webHidden/>
          </w:rPr>
          <w:t>6</w:t>
        </w:r>
        <w:r>
          <w:rPr>
            <w:noProof/>
            <w:webHidden/>
          </w:rPr>
          <w:fldChar w:fldCharType="end"/>
        </w:r>
      </w:hyperlink>
    </w:p>
    <w:p w:rsidR="002E5AC6" w:rsidRDefault="002E5AC6">
      <w:pPr>
        <w:pStyle w:val="21"/>
        <w:rPr>
          <w:rFonts w:asciiTheme="minorHAnsi" w:eastAsiaTheme="minorEastAsia" w:hAnsiTheme="minorHAnsi" w:cstheme="minorBidi"/>
          <w:noProof/>
          <w:sz w:val="22"/>
          <w:szCs w:val="22"/>
          <w:lang w:eastAsia="ru-RU"/>
        </w:rPr>
      </w:pPr>
      <w:hyperlink w:anchor="_Toc501975510" w:history="1">
        <w:r w:rsidRPr="00E6171B">
          <w:rPr>
            <w:rStyle w:val="ae"/>
            <w:noProof/>
          </w:rPr>
          <w:t>1.4.</w:t>
        </w:r>
        <w:r>
          <w:rPr>
            <w:rFonts w:asciiTheme="minorHAnsi" w:eastAsiaTheme="minorEastAsia" w:hAnsiTheme="minorHAnsi" w:cstheme="minorBidi"/>
            <w:noProof/>
            <w:sz w:val="22"/>
            <w:szCs w:val="22"/>
            <w:lang w:eastAsia="ru-RU"/>
          </w:rPr>
          <w:tab/>
        </w:r>
        <w:r w:rsidRPr="00E6171B">
          <w:rPr>
            <w:rStyle w:val="ae"/>
            <w:noProof/>
          </w:rPr>
          <w:t xml:space="preserve">Анализ содержимого сетевых пакетов </w:t>
        </w:r>
        <w:r w:rsidRPr="00E6171B">
          <w:rPr>
            <w:rStyle w:val="ae"/>
            <w:noProof/>
            <w:lang w:val="en-US"/>
          </w:rPr>
          <w:t>DNS</w:t>
        </w:r>
        <w:r w:rsidRPr="00E6171B">
          <w:rPr>
            <w:rStyle w:val="ae"/>
            <w:noProof/>
          </w:rPr>
          <w:t>???? Или это в 2 части?</w:t>
        </w:r>
        <w:r>
          <w:rPr>
            <w:noProof/>
            <w:webHidden/>
          </w:rPr>
          <w:tab/>
        </w:r>
        <w:r>
          <w:rPr>
            <w:noProof/>
            <w:webHidden/>
          </w:rPr>
          <w:fldChar w:fldCharType="begin"/>
        </w:r>
        <w:r>
          <w:rPr>
            <w:noProof/>
            <w:webHidden/>
          </w:rPr>
          <w:instrText xml:space="preserve"> PAGEREF _Toc501975510 \h </w:instrText>
        </w:r>
        <w:r>
          <w:rPr>
            <w:noProof/>
            <w:webHidden/>
          </w:rPr>
        </w:r>
        <w:r>
          <w:rPr>
            <w:noProof/>
            <w:webHidden/>
          </w:rPr>
          <w:fldChar w:fldCharType="separate"/>
        </w:r>
        <w:r>
          <w:rPr>
            <w:noProof/>
            <w:webHidden/>
          </w:rPr>
          <w:t>6</w:t>
        </w:r>
        <w:r>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11" w:history="1">
        <w:r w:rsidRPr="00E6171B">
          <w:rPr>
            <w:rStyle w:val="ae"/>
            <w:noProof/>
          </w:rPr>
          <w:t>2.</w:t>
        </w:r>
        <w:r>
          <w:rPr>
            <w:rFonts w:asciiTheme="minorHAnsi" w:eastAsiaTheme="minorEastAsia" w:hAnsiTheme="minorHAnsi" w:cstheme="minorBidi"/>
            <w:noProof/>
            <w:sz w:val="22"/>
            <w:szCs w:val="22"/>
            <w:lang w:eastAsia="ru-RU"/>
          </w:rPr>
          <w:tab/>
        </w:r>
        <w:r w:rsidRPr="00E6171B">
          <w:rPr>
            <w:rStyle w:val="ae"/>
            <w:noProof/>
          </w:rPr>
          <w:t>КОНСТРУКТОРСКАЯ ЧАСТЬ</w:t>
        </w:r>
        <w:r>
          <w:rPr>
            <w:noProof/>
            <w:webHidden/>
          </w:rPr>
          <w:tab/>
        </w:r>
        <w:r>
          <w:rPr>
            <w:noProof/>
            <w:webHidden/>
          </w:rPr>
          <w:fldChar w:fldCharType="begin"/>
        </w:r>
        <w:r>
          <w:rPr>
            <w:noProof/>
            <w:webHidden/>
          </w:rPr>
          <w:instrText xml:space="preserve"> PAGEREF _Toc501975511 \h </w:instrText>
        </w:r>
        <w:r>
          <w:rPr>
            <w:noProof/>
            <w:webHidden/>
          </w:rPr>
        </w:r>
        <w:r>
          <w:rPr>
            <w:noProof/>
            <w:webHidden/>
          </w:rPr>
          <w:fldChar w:fldCharType="separate"/>
        </w:r>
        <w:r>
          <w:rPr>
            <w:noProof/>
            <w:webHidden/>
          </w:rPr>
          <w:t>7</w:t>
        </w:r>
        <w:r>
          <w:rPr>
            <w:noProof/>
            <w:webHidden/>
          </w:rPr>
          <w:fldChar w:fldCharType="end"/>
        </w:r>
      </w:hyperlink>
    </w:p>
    <w:p w:rsidR="002E5AC6" w:rsidRDefault="002E5AC6">
      <w:pPr>
        <w:pStyle w:val="21"/>
        <w:rPr>
          <w:rFonts w:asciiTheme="minorHAnsi" w:eastAsiaTheme="minorEastAsia" w:hAnsiTheme="minorHAnsi" w:cstheme="minorBidi"/>
          <w:noProof/>
          <w:sz w:val="22"/>
          <w:szCs w:val="22"/>
          <w:lang w:eastAsia="ru-RU"/>
        </w:rPr>
      </w:pPr>
      <w:hyperlink w:anchor="_Toc501975512" w:history="1">
        <w:r w:rsidRPr="00E6171B">
          <w:rPr>
            <w:rStyle w:val="ae"/>
            <w:noProof/>
          </w:rPr>
          <w:t>2.1.</w:t>
        </w:r>
        <w:r>
          <w:rPr>
            <w:rFonts w:asciiTheme="minorHAnsi" w:eastAsiaTheme="minorEastAsia" w:hAnsiTheme="minorHAnsi" w:cstheme="minorBidi"/>
            <w:noProof/>
            <w:sz w:val="22"/>
            <w:szCs w:val="22"/>
            <w:lang w:eastAsia="ru-RU"/>
          </w:rPr>
          <w:tab/>
        </w:r>
        <w:r w:rsidRPr="00E6171B">
          <w:rPr>
            <w:rStyle w:val="ae"/>
            <w:noProof/>
          </w:rPr>
          <w:t>Описание приложения???</w:t>
        </w:r>
        <w:r>
          <w:rPr>
            <w:noProof/>
            <w:webHidden/>
          </w:rPr>
          <w:tab/>
        </w:r>
        <w:r>
          <w:rPr>
            <w:noProof/>
            <w:webHidden/>
          </w:rPr>
          <w:fldChar w:fldCharType="begin"/>
        </w:r>
        <w:r>
          <w:rPr>
            <w:noProof/>
            <w:webHidden/>
          </w:rPr>
          <w:instrText xml:space="preserve"> PAGEREF _Toc501975512 \h </w:instrText>
        </w:r>
        <w:r>
          <w:rPr>
            <w:noProof/>
            <w:webHidden/>
          </w:rPr>
        </w:r>
        <w:r>
          <w:rPr>
            <w:noProof/>
            <w:webHidden/>
          </w:rPr>
          <w:fldChar w:fldCharType="separate"/>
        </w:r>
        <w:r>
          <w:rPr>
            <w:noProof/>
            <w:webHidden/>
          </w:rPr>
          <w:t>7</w:t>
        </w:r>
        <w:r>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13" w:history="1">
        <w:r w:rsidRPr="00E6171B">
          <w:rPr>
            <w:rStyle w:val="ae"/>
            <w:noProof/>
          </w:rPr>
          <w:t>3.</w:t>
        </w:r>
        <w:r>
          <w:rPr>
            <w:rFonts w:asciiTheme="minorHAnsi" w:eastAsiaTheme="minorEastAsia" w:hAnsiTheme="minorHAnsi" w:cstheme="minorBidi"/>
            <w:noProof/>
            <w:sz w:val="22"/>
            <w:szCs w:val="22"/>
            <w:lang w:eastAsia="ru-RU"/>
          </w:rPr>
          <w:tab/>
        </w:r>
        <w:r w:rsidRPr="00E6171B">
          <w:rPr>
            <w:rStyle w:val="ae"/>
            <w:noProof/>
          </w:rPr>
          <w:t>ЛИСТИНГ ПРОГРАММЫ</w:t>
        </w:r>
        <w:r>
          <w:rPr>
            <w:noProof/>
            <w:webHidden/>
          </w:rPr>
          <w:tab/>
        </w:r>
        <w:r>
          <w:rPr>
            <w:noProof/>
            <w:webHidden/>
          </w:rPr>
          <w:fldChar w:fldCharType="begin"/>
        </w:r>
        <w:r>
          <w:rPr>
            <w:noProof/>
            <w:webHidden/>
          </w:rPr>
          <w:instrText xml:space="preserve"> PAGEREF _Toc501975513 \h </w:instrText>
        </w:r>
        <w:r>
          <w:rPr>
            <w:noProof/>
            <w:webHidden/>
          </w:rPr>
        </w:r>
        <w:r>
          <w:rPr>
            <w:noProof/>
            <w:webHidden/>
          </w:rPr>
          <w:fldChar w:fldCharType="separate"/>
        </w:r>
        <w:r>
          <w:rPr>
            <w:noProof/>
            <w:webHidden/>
          </w:rPr>
          <w:t>8</w:t>
        </w:r>
        <w:r>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14" w:history="1">
        <w:r w:rsidRPr="00E6171B">
          <w:rPr>
            <w:rStyle w:val="ae"/>
            <w:noProof/>
          </w:rPr>
          <w:t>Заключение</w:t>
        </w:r>
        <w:r>
          <w:rPr>
            <w:noProof/>
            <w:webHidden/>
          </w:rPr>
          <w:tab/>
        </w:r>
        <w:r>
          <w:rPr>
            <w:noProof/>
            <w:webHidden/>
          </w:rPr>
          <w:fldChar w:fldCharType="begin"/>
        </w:r>
        <w:r>
          <w:rPr>
            <w:noProof/>
            <w:webHidden/>
          </w:rPr>
          <w:instrText xml:space="preserve"> PAGEREF _Toc501975514 \h </w:instrText>
        </w:r>
        <w:r>
          <w:rPr>
            <w:noProof/>
            <w:webHidden/>
          </w:rPr>
        </w:r>
        <w:r>
          <w:rPr>
            <w:noProof/>
            <w:webHidden/>
          </w:rPr>
          <w:fldChar w:fldCharType="separate"/>
        </w:r>
        <w:r>
          <w:rPr>
            <w:noProof/>
            <w:webHidden/>
          </w:rPr>
          <w:t>9</w:t>
        </w:r>
        <w:r>
          <w:rPr>
            <w:noProof/>
            <w:webHidden/>
          </w:rPr>
          <w:fldChar w:fldCharType="end"/>
        </w:r>
      </w:hyperlink>
    </w:p>
    <w:p w:rsidR="002E5AC6" w:rsidRDefault="002E5AC6">
      <w:pPr>
        <w:pStyle w:val="11"/>
        <w:rPr>
          <w:rFonts w:asciiTheme="minorHAnsi" w:eastAsiaTheme="minorEastAsia" w:hAnsiTheme="minorHAnsi" w:cstheme="minorBidi"/>
          <w:noProof/>
          <w:sz w:val="22"/>
          <w:szCs w:val="22"/>
          <w:lang w:eastAsia="ru-RU"/>
        </w:rPr>
      </w:pPr>
      <w:hyperlink w:anchor="_Toc501975515" w:history="1">
        <w:r w:rsidRPr="00E6171B">
          <w:rPr>
            <w:rStyle w:val="ae"/>
            <w:noProof/>
          </w:rPr>
          <w:t>Список литературы</w:t>
        </w:r>
        <w:r>
          <w:rPr>
            <w:noProof/>
            <w:webHidden/>
          </w:rPr>
          <w:tab/>
        </w:r>
        <w:r>
          <w:rPr>
            <w:noProof/>
            <w:webHidden/>
          </w:rPr>
          <w:fldChar w:fldCharType="begin"/>
        </w:r>
        <w:r>
          <w:rPr>
            <w:noProof/>
            <w:webHidden/>
          </w:rPr>
          <w:instrText xml:space="preserve"> PAGEREF _Toc501975515 \h </w:instrText>
        </w:r>
        <w:r>
          <w:rPr>
            <w:noProof/>
            <w:webHidden/>
          </w:rPr>
        </w:r>
        <w:r>
          <w:rPr>
            <w:noProof/>
            <w:webHidden/>
          </w:rPr>
          <w:fldChar w:fldCharType="separate"/>
        </w:r>
        <w:r>
          <w:rPr>
            <w:noProof/>
            <w:webHidden/>
          </w:rPr>
          <w:t>10</w:t>
        </w:r>
        <w:r>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1" w:name="_Toc501975505"/>
      <w:r w:rsidRPr="008F58C1">
        <w:lastRenderedPageBreak/>
        <w:t>Введение</w:t>
      </w:r>
      <w:bookmarkEnd w:id="1"/>
    </w:p>
    <w:p w:rsidR="003C7522" w:rsidRDefault="00677EE0" w:rsidP="003C7522">
      <w:r>
        <w:t xml:space="preserve"> </w:t>
      </w:r>
      <w:r w:rsidR="00DD30F3">
        <w:t xml:space="preserve">Хеширование </w:t>
      </w:r>
    </w:p>
    <w:p w:rsidR="00BC4C78" w:rsidRDefault="00BC4C78" w:rsidP="00DD30F3"/>
    <w:p w:rsidR="000527BA" w:rsidRPr="00654B26" w:rsidRDefault="00E803D0" w:rsidP="00E803D0">
      <w:pPr>
        <w:pStyle w:val="1"/>
        <w:tabs>
          <w:tab w:val="left" w:pos="426"/>
        </w:tabs>
      </w:pPr>
      <w:bookmarkStart w:id="2" w:name="_Toc501975506"/>
      <w:r w:rsidRPr="00E803D0">
        <w:lastRenderedPageBreak/>
        <w:t>АНАЛИТИЧЕСКАЯ ЧАСТЬ</w:t>
      </w:r>
      <w:bookmarkEnd w:id="2"/>
    </w:p>
    <w:p w:rsidR="00417336" w:rsidRDefault="002E5AC6" w:rsidP="00BD652E">
      <w:pPr>
        <w:pStyle w:val="2"/>
      </w:pPr>
      <w:bookmarkStart w:id="3" w:name="_Toc501975507"/>
      <w:r>
        <w:t xml:space="preserve">Описание протокола </w:t>
      </w:r>
      <w:r>
        <w:rPr>
          <w:lang w:val="en-US"/>
        </w:rPr>
        <w:t>TCP</w:t>
      </w:r>
      <w:bookmarkEnd w:id="3"/>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xml:space="preserve">), отправив </w:t>
      </w:r>
      <w:proofErr w:type="gramStart"/>
      <w:r>
        <w:t>серверному приложению</w:t>
      </w:r>
      <w:proofErr w:type="gramEnd"/>
      <w:r>
        <w:t xml:space="preserve">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r w:rsidR="00802E7B">
        <w:t xml:space="preserve"> </w:t>
      </w:r>
      <w: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A73822">
            <w:pPr>
              <w:ind w:firstLine="0"/>
            </w:pPr>
            <w:r w:rsidRPr="008D11EE">
              <w:t xml:space="preserve">Поле </w:t>
            </w:r>
          </w:p>
        </w:tc>
        <w:tc>
          <w:tcPr>
            <w:tcW w:w="1134" w:type="dxa"/>
          </w:tcPr>
          <w:p w:rsidR="008D11EE" w:rsidRPr="008D11EE" w:rsidRDefault="008D11EE" w:rsidP="00A73822">
            <w:pPr>
              <w:ind w:firstLine="0"/>
            </w:pPr>
            <w:r w:rsidRPr="008D11EE">
              <w:t xml:space="preserve">Длина </w:t>
            </w:r>
          </w:p>
        </w:tc>
        <w:tc>
          <w:tcPr>
            <w:tcW w:w="5804" w:type="dxa"/>
          </w:tcPr>
          <w:p w:rsidR="008D11EE" w:rsidRPr="008D11EE" w:rsidRDefault="008D11EE" w:rsidP="00A73822">
            <w:pPr>
              <w:ind w:firstLine="0"/>
            </w:pPr>
            <w:r w:rsidRPr="008D11EE">
              <w:t>Описание</w:t>
            </w:r>
          </w:p>
        </w:tc>
      </w:tr>
      <w:tr w:rsidR="008D11EE" w:rsidRPr="008D11EE" w:rsidTr="006E6765">
        <w:tc>
          <w:tcPr>
            <w:tcW w:w="2689" w:type="dxa"/>
          </w:tcPr>
          <w:p w:rsidR="008D11EE" w:rsidRPr="008D11EE" w:rsidRDefault="008D11EE" w:rsidP="00A73822">
            <w:pPr>
              <w:ind w:firstLine="0"/>
            </w:pPr>
            <w:r w:rsidRPr="008D11EE">
              <w:t xml:space="preserve">Порт источника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источника</w:t>
            </w:r>
          </w:p>
        </w:tc>
      </w:tr>
      <w:tr w:rsidR="008D11EE" w:rsidRPr="008D11EE" w:rsidTr="006E6765">
        <w:tc>
          <w:tcPr>
            <w:tcW w:w="2689" w:type="dxa"/>
          </w:tcPr>
          <w:p w:rsidR="008D11EE" w:rsidRPr="008D11EE" w:rsidRDefault="008D11EE" w:rsidP="00A73822">
            <w:pPr>
              <w:ind w:firstLine="0"/>
            </w:pPr>
            <w:r w:rsidRPr="008D11EE">
              <w:t xml:space="preserve">Порт назначения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назначения</w:t>
            </w:r>
          </w:p>
        </w:tc>
      </w:tr>
      <w:tr w:rsidR="008D11EE" w:rsidRPr="008D11EE" w:rsidTr="006E6765">
        <w:tc>
          <w:tcPr>
            <w:tcW w:w="2689" w:type="dxa"/>
          </w:tcPr>
          <w:p w:rsidR="008D11EE" w:rsidRPr="008D11EE" w:rsidRDefault="008D11EE" w:rsidP="00A73822">
            <w:pPr>
              <w:ind w:firstLine="0"/>
            </w:pPr>
            <w:r w:rsidRPr="008D11EE">
              <w:t xml:space="preserve">Последовательный номер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 xml:space="preserve">Последовательный номер генерируется источником и используется назначением, чтобы переупорядочить пакеты для создания </w:t>
            </w:r>
            <w:r w:rsidRPr="008D11EE">
              <w:lastRenderedPageBreak/>
              <w:t>исходного сообщения и отправить подтверждение источнику.</w:t>
            </w:r>
          </w:p>
        </w:tc>
      </w:tr>
      <w:tr w:rsidR="008D11EE" w:rsidRPr="008D11EE" w:rsidTr="006E6765">
        <w:tc>
          <w:tcPr>
            <w:tcW w:w="2689" w:type="dxa"/>
          </w:tcPr>
          <w:p w:rsidR="008D11EE" w:rsidRPr="008D11EE" w:rsidRDefault="008D11EE" w:rsidP="00A73822">
            <w:pPr>
              <w:ind w:firstLine="0"/>
            </w:pPr>
            <w:r w:rsidRPr="008D11EE">
              <w:lastRenderedPageBreak/>
              <w:t xml:space="preserve">Номер подтверждения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A73822">
            <w:pPr>
              <w:ind w:firstLine="0"/>
            </w:pPr>
            <w:r w:rsidRPr="008D11EE">
              <w:t xml:space="preserve">Смещение данных </w:t>
            </w:r>
          </w:p>
        </w:tc>
        <w:tc>
          <w:tcPr>
            <w:tcW w:w="1134" w:type="dxa"/>
          </w:tcPr>
          <w:p w:rsidR="008D11EE" w:rsidRPr="008D11EE" w:rsidRDefault="008D11EE" w:rsidP="00A73822">
            <w:pPr>
              <w:ind w:firstLine="0"/>
            </w:pPr>
            <w:r w:rsidRPr="008D11EE">
              <w:t xml:space="preserve">4 бита </w:t>
            </w:r>
          </w:p>
        </w:tc>
        <w:tc>
          <w:tcPr>
            <w:tcW w:w="5804" w:type="dxa"/>
          </w:tcPr>
          <w:p w:rsidR="008D11EE" w:rsidRPr="008D11EE" w:rsidRDefault="008D11EE" w:rsidP="00A73822">
            <w:pPr>
              <w:ind w:firstLine="0"/>
            </w:pPr>
            <w:r w:rsidRPr="008D11EE">
              <w:t>Информация о начале пакета данных.</w:t>
            </w:r>
          </w:p>
        </w:tc>
      </w:tr>
      <w:tr w:rsidR="008D11EE" w:rsidRPr="008D11EE" w:rsidTr="006E6765">
        <w:tc>
          <w:tcPr>
            <w:tcW w:w="2689" w:type="dxa"/>
          </w:tcPr>
          <w:p w:rsidR="008D11EE" w:rsidRPr="008D11EE" w:rsidRDefault="008D11EE" w:rsidP="00A73822">
            <w:pPr>
              <w:ind w:firstLine="0"/>
            </w:pPr>
            <w:r w:rsidRPr="008D11EE">
              <w:t xml:space="preserve">Резерв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A73822">
            <w:pPr>
              <w:ind w:firstLine="0"/>
            </w:pPr>
            <w:r w:rsidRPr="008D11EE">
              <w:t xml:space="preserve">Управление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A73822">
            <w:pPr>
              <w:ind w:firstLine="0"/>
            </w:pPr>
            <w:r w:rsidRPr="008D11EE">
              <w:t xml:space="preserve">Размер окна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A73822">
            <w:pPr>
              <w:ind w:firstLine="0"/>
            </w:pPr>
            <w:r w:rsidRPr="008D11EE">
              <w:t xml:space="preserve">Контрольная сумма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A73822">
            <w:pPr>
              <w:ind w:firstLine="0"/>
            </w:pPr>
            <w:r w:rsidRPr="008D11EE">
              <w:t xml:space="preserve">Указатель срочности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A73822">
            <w:pPr>
              <w:ind w:firstLine="0"/>
            </w:pPr>
            <w:r w:rsidRPr="008D11EE">
              <w:t xml:space="preserve">Опции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A73822">
            <w:pPr>
              <w:ind w:firstLine="0"/>
            </w:pPr>
            <w:r w:rsidRPr="008D11EE">
              <w:t xml:space="preserve">Дополнение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В поле дополнения добавляется столько нулей, чтобы заголовок заканчивался на 32-битной границе.</w:t>
            </w:r>
          </w:p>
        </w:tc>
      </w:tr>
    </w:tbl>
    <w:p w:rsidR="00F70A04" w:rsidRPr="005C4779" w:rsidRDefault="00F70A04" w:rsidP="00F70A04">
      <w:pPr>
        <w:rPr>
          <w:color w:val="FF0000"/>
        </w:rPr>
      </w:pPr>
    </w:p>
    <w:p w:rsidR="00F70A04" w:rsidRDefault="00F70A04" w:rsidP="00F70A04">
      <w:r>
        <w:t xml:space="preserve">TCP — это сложный, требующий больших затрат времени протокол, что объясняется его механизмом установления соединения, но он берет на себя </w:t>
      </w:r>
      <w:r>
        <w:lastRenderedPageBreak/>
        <w:t>заботу о гарантированной доставке пакетов, избавляя нас от необходимости включать эту функциональную возможность в прикладной протокол.</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4" w:name="_Toc501975508"/>
      <w:r>
        <w:t>Описание протокола UDP</w:t>
      </w:r>
      <w:bookmarkEnd w:id="4"/>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UDP нужно различать однонаправленную передачу, широковещательную передачу и групповую рассылку.</w:t>
      </w:r>
    </w:p>
    <w:p w:rsidR="005C4779" w:rsidRDefault="005C4779" w:rsidP="005C4779">
      <w:r>
        <w:t>Однонаправленное (</w:t>
      </w:r>
      <w:proofErr w:type="spellStart"/>
      <w:r>
        <w:t>unicast</w:t>
      </w:r>
      <w:proofErr w:type="spellEnd"/>
      <w:r>
        <w:t>) сообщение 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r w:rsidR="006E6765">
        <w:t xml:space="preserve"> </w:t>
      </w:r>
      <w:r>
        <w:t>Широковещательная передача (</w:t>
      </w:r>
      <w:proofErr w:type="spellStart"/>
      <w:r>
        <w:t>broadcast</w:t>
      </w:r>
      <w:proofErr w:type="spellEnd"/>
      <w:r>
        <w:t>) означает, что сообщение отправляется всем узлам сети. Групповая рассылка (</w:t>
      </w:r>
      <w:proofErr w:type="spellStart"/>
      <w:r>
        <w:t>multicast</w:t>
      </w:r>
      <w:proofErr w:type="spellEnd"/>
      <w:r>
        <w:t>) - это промежуточный механизм: сообщения отправляются выбранным группам узлов.</w:t>
      </w:r>
    </w:p>
    <w:p w:rsidR="005C4779" w:rsidRDefault="005C4779" w:rsidP="005C4779">
      <w:r>
        <w:lastRenderedPageBreak/>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340F6C">
            <w:pPr>
              <w:ind w:firstLine="0"/>
            </w:pPr>
            <w:r w:rsidRPr="008D11EE">
              <w:t xml:space="preserve">Поле </w:t>
            </w:r>
          </w:p>
        </w:tc>
        <w:tc>
          <w:tcPr>
            <w:tcW w:w="1276" w:type="dxa"/>
          </w:tcPr>
          <w:p w:rsidR="008D11EE" w:rsidRPr="008D11EE" w:rsidRDefault="008D11EE" w:rsidP="00340F6C">
            <w:pPr>
              <w:ind w:firstLine="0"/>
            </w:pPr>
            <w:r w:rsidRPr="008D11EE">
              <w:t xml:space="preserve">Длина </w:t>
            </w:r>
          </w:p>
        </w:tc>
        <w:tc>
          <w:tcPr>
            <w:tcW w:w="6088" w:type="dxa"/>
          </w:tcPr>
          <w:p w:rsidR="008D11EE" w:rsidRPr="008D11EE" w:rsidRDefault="008D11EE" w:rsidP="00340F6C">
            <w:pPr>
              <w:ind w:firstLine="0"/>
            </w:pPr>
            <w:r w:rsidRPr="008D11EE">
              <w:t>Описание</w:t>
            </w:r>
          </w:p>
        </w:tc>
      </w:tr>
      <w:tr w:rsidR="008D11EE" w:rsidRPr="008D11EE" w:rsidTr="008D11EE">
        <w:tc>
          <w:tcPr>
            <w:tcW w:w="2263" w:type="dxa"/>
          </w:tcPr>
          <w:p w:rsidR="008D11EE" w:rsidRPr="008D11EE" w:rsidRDefault="008D11EE" w:rsidP="00340F6C">
            <w:pPr>
              <w:ind w:firstLine="0"/>
            </w:pPr>
            <w:r w:rsidRPr="008D11EE">
              <w:t xml:space="preserve">Порт источника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340F6C">
            <w:pPr>
              <w:ind w:firstLine="0"/>
            </w:pPr>
            <w:r w:rsidRPr="008D11EE">
              <w:t xml:space="preserve">Порт назначения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Номер порта назначения</w:t>
            </w:r>
          </w:p>
        </w:tc>
      </w:tr>
      <w:tr w:rsidR="008D11EE" w:rsidRPr="008D11EE" w:rsidTr="008D11EE">
        <w:tc>
          <w:tcPr>
            <w:tcW w:w="2263" w:type="dxa"/>
          </w:tcPr>
          <w:p w:rsidR="008D11EE" w:rsidRPr="008D11EE" w:rsidRDefault="008D11EE" w:rsidP="00340F6C">
            <w:pPr>
              <w:ind w:firstLine="0"/>
            </w:pPr>
            <w:r w:rsidRPr="008D11EE">
              <w:t xml:space="preserve">Длина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340F6C">
            <w:pPr>
              <w:ind w:firstLine="0"/>
            </w:pPr>
            <w:r w:rsidRPr="008D11EE">
              <w:t xml:space="preserve">Контрольная сумма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Контрольная сумма заголовка и данных для проверки</w:t>
            </w:r>
          </w:p>
        </w:tc>
      </w:tr>
    </w:tbl>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5" w:name="_Toc501975509"/>
      <w:r>
        <w:t xml:space="preserve">Описание протокола </w:t>
      </w:r>
      <w:r>
        <w:rPr>
          <w:lang w:val="en-US"/>
        </w:rPr>
        <w:t>DNS</w:t>
      </w:r>
      <w:bookmarkEnd w:id="5"/>
    </w:p>
    <w:p w:rsidR="00A5708E" w:rsidRDefault="001671EA" w:rsidP="00A5708E">
      <w:pPr>
        <w:pStyle w:val="23"/>
        <w:shd w:val="clear" w:color="auto" w:fill="auto"/>
        <w:spacing w:before="0" w:after="0" w:line="360" w:lineRule="auto"/>
        <w:ind w:firstLine="0"/>
        <w:jc w:val="both"/>
        <w:rPr>
          <w:sz w:val="28"/>
          <w:szCs w:val="28"/>
        </w:rPr>
      </w:pPr>
      <w:hyperlink r:id="rId9" w:history="1">
        <w:r w:rsidRPr="00B04D91">
          <w:rPr>
            <w:rStyle w:val="ae"/>
            <w:sz w:val="28"/>
            <w:szCs w:val="28"/>
          </w:rPr>
          <w:t>http://citforum.ru/nets/semenov/4/44/dns_4412.shtml</w:t>
        </w:r>
      </w:hyperlink>
      <w:r w:rsidR="00A5708E" w:rsidRPr="00A5708E">
        <w:rPr>
          <w:sz w:val="28"/>
          <w:szCs w:val="28"/>
        </w:rPr>
        <w:t>.</w:t>
      </w:r>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w:t>
      </w:r>
      <w:r>
        <w:lastRenderedPageBreak/>
        <w:t>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рисунке </w:t>
      </w:r>
      <w:r w:rsidRPr="00B56A72">
        <w:rPr>
          <w:color w:val="FF0000"/>
        </w:rPr>
        <w:t xml:space="preserve">4.4.12.3 </w:t>
      </w:r>
      <w:r w:rsidRPr="001671EA">
        <w:t>представлен формат таких сообщений (в качестве транспорта используется UDP или TCP, порт 53).</w:t>
      </w:r>
    </w:p>
    <w:p w:rsidR="00B56A72" w:rsidRDefault="00B56A72" w:rsidP="001671EA">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Default="00B56A72" w:rsidP="001671EA">
      <w: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4.4.12.2. Разряды пронумерованы слева направо, начиная с нуля рис. 4.4.12.4.</w:t>
      </w:r>
    </w:p>
    <w:p w:rsidR="00B56A72" w:rsidRDefault="00B56A72" w:rsidP="001671EA">
      <w:r>
        <w:rPr>
          <w:noProof/>
          <w:lang w:eastAsia="ru-RU"/>
        </w:rPr>
        <w:lastRenderedPageBreak/>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 xml:space="preserve">Код поля </w:t>
            </w:r>
            <w:r w:rsidRPr="00B56A72">
              <w:rPr>
                <w:rFonts w:eastAsia="Times New Roman"/>
                <w:i/>
                <w:iCs/>
                <w:lang w:eastAsia="ru-RU"/>
              </w:rPr>
              <w:t>флаги</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EE09FF" w:rsidP="001671EA"/>
    <w:p w:rsidR="00B56A72" w:rsidRDefault="00EE09FF" w:rsidP="001671EA">
      <w:r>
        <w:t>Ниже описан формат секции запросов в DNS-сообщении.</w:t>
      </w:r>
    </w:p>
    <w:p w:rsidR="00B56A72" w:rsidRDefault="00EE09FF" w:rsidP="001671EA">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B56A72" w:rsidRDefault="00B56A72" w:rsidP="001671EA"/>
    <w:p w:rsidR="00EE09FF" w:rsidRDefault="00EE09FF" w:rsidP="001671EA">
      <w:r>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E09FF">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E09FF" w:rsidRDefault="00EE09FF" w:rsidP="00EE09FF">
      <w:r>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w:t>
      </w:r>
      <w:r>
        <w:lastRenderedPageBreak/>
        <w:t>поле означает, что это не мера длины секции, а 16-битный указатель, 14 бит которого являются смещением от начала DNS-сообщения, указывающим на 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p w:rsidR="00EE09FF" w:rsidRPr="00EE09FF" w:rsidRDefault="00EE09FF" w:rsidP="00EE09FF">
      <w:pPr>
        <w:spacing w:before="100" w:beforeAutospacing="1" w:after="100" w:afterAutospacing="1" w:line="240" w:lineRule="auto"/>
        <w:ind w:firstLine="0"/>
        <w:jc w:val="center"/>
        <w:rPr>
          <w:rFonts w:eastAsia="Times New Roman"/>
          <w:sz w:val="24"/>
          <w:szCs w:val="24"/>
          <w:lang w:eastAsia="ru-RU"/>
        </w:rPr>
      </w:pPr>
      <w:r w:rsidRPr="00EE09FF">
        <w:rPr>
          <w:rFonts w:eastAsia="Times New Roman"/>
          <w:sz w:val="24"/>
          <w:szCs w:val="24"/>
          <w:lang w:eastAsia="ru-RU"/>
        </w:rPr>
        <w:t xml:space="preserve">Таблица </w:t>
      </w:r>
      <w:proofErr w:type="gramStart"/>
      <w:r w:rsidRPr="00EE09FF">
        <w:rPr>
          <w:rFonts w:eastAsia="Times New Roman"/>
          <w:sz w:val="24"/>
          <w:szCs w:val="24"/>
          <w:lang w:eastAsia="ru-RU"/>
        </w:rPr>
        <w:t>4.4.12.3..</w:t>
      </w:r>
      <w:proofErr w:type="gramEnd"/>
      <w:r w:rsidRPr="00EE09FF">
        <w:rPr>
          <w:rFonts w:eastAsia="Times New Roman"/>
          <w:sz w:val="24"/>
          <w:szCs w:val="24"/>
          <w:lang w:eastAsia="ru-RU"/>
        </w:rPr>
        <w:t xml:space="preserve"> Разновидности полей </w:t>
      </w:r>
      <w:r w:rsidRPr="00EE09FF">
        <w:rPr>
          <w:rFonts w:eastAsia="Times New Roman"/>
          <w:b/>
          <w:bCs/>
          <w:i/>
          <w:iCs/>
          <w:sz w:val="24"/>
          <w:szCs w:val="24"/>
          <w:lang w:eastAsia="ru-RU"/>
        </w:rPr>
        <w:t>тип запроса</w:t>
      </w:r>
      <w:r w:rsidRPr="00EE09FF">
        <w:rPr>
          <w:rFonts w:eastAsia="Times New Roman"/>
          <w:sz w:val="24"/>
          <w:szCs w:val="24"/>
          <w:lang w:eastAsia="ru-RU"/>
        </w:rPr>
        <w:t xml:space="preserve"> и их коды</w:t>
      </w:r>
    </w:p>
    <w:tbl>
      <w:tblPr>
        <w:tblW w:w="0" w:type="auto"/>
        <w:jc w:val="center"/>
        <w:tblCellSpacing w:w="7" w:type="dxa"/>
        <w:tblBorders>
          <w:top w:val="outset" w:sz="48" w:space="0" w:color="auto"/>
          <w:left w:val="outset" w:sz="48" w:space="0" w:color="auto"/>
          <w:bottom w:val="outset" w:sz="48" w:space="0" w:color="auto"/>
          <w:right w:val="outset" w:sz="48" w:space="0" w:color="auto"/>
        </w:tblBorders>
        <w:tblCellMar>
          <w:top w:w="75" w:type="dxa"/>
          <w:left w:w="75" w:type="dxa"/>
          <w:bottom w:w="75" w:type="dxa"/>
          <w:right w:w="75" w:type="dxa"/>
        </w:tblCellMar>
        <w:tblLook w:val="04A0" w:firstRow="1" w:lastRow="0" w:firstColumn="1" w:lastColumn="0" w:noHBand="0" w:noVBand="1"/>
      </w:tblPr>
      <w:tblGrid>
        <w:gridCol w:w="1261"/>
        <w:gridCol w:w="977"/>
        <w:gridCol w:w="7383"/>
      </w:tblGrid>
      <w:tr w:rsidR="00EE09FF" w:rsidRPr="00EE09FF" w:rsidTr="00EE09FF">
        <w:trPr>
          <w:tblCellSpacing w:w="7" w:type="dxa"/>
          <w:jc w:val="center"/>
        </w:trPr>
        <w:tc>
          <w:tcPr>
            <w:tcW w:w="650" w:type="pct"/>
            <w:tcBorders>
              <w:top w:val="outset" w:sz="6" w:space="0" w:color="auto"/>
              <w:left w:val="outset" w:sz="6" w:space="0" w:color="auto"/>
              <w:bottom w:val="outset" w:sz="6" w:space="0" w:color="auto"/>
              <w:right w:val="outset" w:sz="6" w:space="0" w:color="auto"/>
            </w:tcBorders>
            <w:shd w:val="clear" w:color="auto" w:fill="DCDCDC"/>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Тип запроса</w:t>
            </w:r>
          </w:p>
        </w:tc>
        <w:tc>
          <w:tcPr>
            <w:tcW w:w="500" w:type="pct"/>
            <w:tcBorders>
              <w:top w:val="outset" w:sz="6" w:space="0" w:color="auto"/>
              <w:left w:val="outset" w:sz="6" w:space="0" w:color="auto"/>
              <w:bottom w:val="outset" w:sz="6" w:space="0" w:color="auto"/>
              <w:right w:val="outset" w:sz="6" w:space="0" w:color="auto"/>
            </w:tcBorders>
            <w:shd w:val="clear" w:color="auto" w:fill="DCDCDC"/>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Код запроса</w:t>
            </w:r>
          </w:p>
        </w:tc>
        <w:tc>
          <w:tcPr>
            <w:tcW w:w="3850" w:type="pct"/>
            <w:tcBorders>
              <w:top w:val="outset" w:sz="6" w:space="0" w:color="auto"/>
              <w:left w:val="outset" w:sz="6" w:space="0" w:color="auto"/>
              <w:bottom w:val="outset" w:sz="6" w:space="0" w:color="auto"/>
              <w:right w:val="outset" w:sz="6" w:space="0" w:color="auto"/>
            </w:tcBorders>
            <w:shd w:val="clear" w:color="auto" w:fill="DCDCDC"/>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Описание</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IP-адрес</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Сервер имен.</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CNAME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Каноническое имя.</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SOA</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Начало списка серверов. Большое число полей, определяющих часть иерархии имен, которую использует сервер.</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MB</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Имя домена почтового ящика.</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WKS</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val="en-US" w:eastAsia="ru-RU"/>
              </w:rPr>
            </w:pPr>
            <w:proofErr w:type="gramStart"/>
            <w:r w:rsidRPr="00EE09FF">
              <w:rPr>
                <w:rFonts w:eastAsia="Times New Roman"/>
                <w:sz w:val="24"/>
                <w:szCs w:val="24"/>
                <w:lang w:val="en-US" w:eastAsia="ru-RU"/>
              </w:rPr>
              <w:t>well-known</w:t>
            </w:r>
            <w:proofErr w:type="gramEnd"/>
            <w:r w:rsidRPr="00EE09FF">
              <w:rPr>
                <w:rFonts w:eastAsia="Times New Roman"/>
                <w:sz w:val="24"/>
                <w:szCs w:val="24"/>
                <w:lang w:val="en-US" w:eastAsia="ru-RU"/>
              </w:rPr>
              <w:t xml:space="preserve"> service - </w:t>
            </w:r>
            <w:r w:rsidRPr="00EE09FF">
              <w:rPr>
                <w:rFonts w:eastAsia="Times New Roman"/>
                <w:sz w:val="24"/>
                <w:szCs w:val="24"/>
                <w:lang w:eastAsia="ru-RU"/>
              </w:rPr>
              <w:t>стандартная</w:t>
            </w:r>
            <w:r w:rsidRPr="00EE09FF">
              <w:rPr>
                <w:rFonts w:eastAsia="Times New Roman"/>
                <w:sz w:val="24"/>
                <w:szCs w:val="24"/>
                <w:lang w:val="en-US" w:eastAsia="ru-RU"/>
              </w:rPr>
              <w:t xml:space="preserve"> </w:t>
            </w:r>
            <w:r w:rsidRPr="00EE09FF">
              <w:rPr>
                <w:rFonts w:eastAsia="Times New Roman"/>
                <w:sz w:val="24"/>
                <w:szCs w:val="24"/>
                <w:lang w:eastAsia="ru-RU"/>
              </w:rPr>
              <w:t>услуга</w:t>
            </w:r>
            <w:r w:rsidRPr="00EE09FF">
              <w:rPr>
                <w:rFonts w:eastAsia="Times New Roman"/>
                <w:sz w:val="24"/>
                <w:szCs w:val="24"/>
                <w:lang w:val="en-US" w:eastAsia="ru-RU"/>
              </w:rPr>
              <w:t>.</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PTR</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Запись указателя.</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HINFO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Информация об ЭВМ.</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MINFO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Информация о почтовом ящике или списке почтовых адресов.</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MX</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Запись о почтовом сервере.</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TXT</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Не интерпретируемая строка ASCII символов.</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AXFR</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Запрос зонного обмена</w:t>
            </w:r>
          </w:p>
        </w:tc>
      </w:tr>
      <w:tr w:rsidR="00EE09FF" w:rsidRPr="00EE09FF" w:rsidTr="00EE09F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 или ANY</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E09FF" w:rsidRPr="00EE09FF" w:rsidRDefault="00EE09FF" w:rsidP="00EE09FF">
            <w:pPr>
              <w:spacing w:line="240" w:lineRule="auto"/>
              <w:ind w:firstLine="0"/>
              <w:jc w:val="left"/>
              <w:rPr>
                <w:rFonts w:eastAsia="Times New Roman"/>
                <w:sz w:val="24"/>
                <w:szCs w:val="24"/>
                <w:lang w:eastAsia="ru-RU"/>
              </w:rPr>
            </w:pPr>
            <w:r w:rsidRPr="00EE09FF">
              <w:rPr>
                <w:rFonts w:eastAsia="Times New Roman"/>
                <w:sz w:val="24"/>
                <w:szCs w:val="24"/>
                <w:lang w:eastAsia="ru-RU"/>
              </w:rPr>
              <w:t>Запрос всех записей.</w:t>
            </w:r>
          </w:p>
        </w:tc>
      </w:tr>
    </w:tbl>
    <w:p w:rsidR="00EE09FF" w:rsidRPr="00EE09FF" w:rsidRDefault="00EE09FF" w:rsidP="00EE09FF">
      <w:pPr>
        <w:spacing w:before="100" w:beforeAutospacing="1" w:after="100" w:afterAutospacing="1" w:line="240" w:lineRule="auto"/>
        <w:ind w:firstLine="0"/>
        <w:jc w:val="left"/>
        <w:rPr>
          <w:rFonts w:eastAsia="Times New Roman"/>
          <w:sz w:val="24"/>
          <w:szCs w:val="24"/>
          <w:lang w:eastAsia="ru-RU"/>
        </w:rPr>
      </w:pPr>
      <w:r w:rsidRPr="00EE09FF">
        <w:rPr>
          <w:rFonts w:eastAsia="Times New Roman"/>
          <w:sz w:val="24"/>
          <w:szCs w:val="24"/>
          <w:lang w:eastAsia="ru-RU"/>
        </w:rPr>
        <w:t>(Пропущенные коды являются устаревшими или экспериментальными).</w:t>
      </w:r>
    </w:p>
    <w:p w:rsidR="00EE09FF" w:rsidRDefault="00EE09FF" w:rsidP="00EE09FF">
      <w:r>
        <w:t xml:space="preserve">Последние две строки в таблице 4.4.12.3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w:t>
      </w:r>
      <w:r w:rsidRPr="00CA3605">
        <w:lastRenderedPageBreak/>
        <w:t>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качества. Каждая запись описывает только одно имя, формат этих записей отображен на рис. 4.4.12.6.</w:t>
      </w:r>
    </w:p>
    <w:p w:rsidR="00EE09FF" w:rsidRDefault="00EE09FF" w:rsidP="00EE09FF">
      <w:r>
        <w:rPr>
          <w:noProof/>
          <w:lang w:eastAsia="ru-RU"/>
        </w:rPr>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E09FF">
      <w:r>
        <w:t>Рис. 4.4.12.6.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w:t>
      </w:r>
      <w:proofErr w:type="gramStart"/>
      <w:r>
        <w:t>для тип</w:t>
      </w:r>
      <w:proofErr w:type="gramEnd"/>
      <w:r>
        <w:t xml:space="preserve">=1 -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EE09FF" w:rsidRDefault="00EE09FF" w:rsidP="00EE09FF">
      <w:r>
        <w:t xml:space="preserve">Имена в домене IN-ADDR.ARPA могут иметь до четырех </w:t>
      </w:r>
      <w:proofErr w:type="spellStart"/>
      <w:r>
        <w:t>субполей</w:t>
      </w:r>
      <w:proofErr w:type="spellEnd"/>
      <w:r>
        <w:t xml:space="preserve"> помимо суффикса IN-ADDR.ARPA. Каждое </w:t>
      </w:r>
      <w:proofErr w:type="spellStart"/>
      <w:r>
        <w:t>субполе</w:t>
      </w:r>
      <w:proofErr w:type="spellEnd"/>
      <w:r>
        <w:t xml:space="preserve"> представляет собой октет IP-адреса, и содержит последовательность символов, отображающую коды в диапазоне 0-255. Так имя для IP-адреса 192.148.166.137 (если оно существует) содержится в домене с именем 137.166.148.192.IN-ADDR.ARPA. Запись адреса задом наперед диктуется общими принципами записи имен доменов (корневая часть имени находится справа). Направив несколько запросов в домен IN-</w:t>
      </w:r>
      <w:r>
        <w:lastRenderedPageBreak/>
        <w:t>ADDR.ARPA относительно имен объектов с интересующими вас IP-адресами, можно получить следующий результат:</w:t>
      </w:r>
    </w:p>
    <w:p w:rsidR="00EE09FF" w:rsidRPr="00EE09FF" w:rsidRDefault="00EE09FF" w:rsidP="00EE09FF">
      <w:pPr>
        <w:rPr>
          <w:lang w:val="en-US"/>
        </w:rPr>
      </w:pPr>
      <w:proofErr w:type="spellStart"/>
      <w:r w:rsidRPr="00EE09FF">
        <w:rPr>
          <w:lang w:val="en-US"/>
        </w:rPr>
        <w:t>IP_address</w:t>
      </w:r>
      <w:proofErr w:type="spellEnd"/>
      <w:r w:rsidRPr="00EE09FF">
        <w:rPr>
          <w:lang w:val="en-US"/>
        </w:rPr>
        <w:t xml:space="preserve"> </w:t>
      </w:r>
      <w:r w:rsidRPr="00EE09FF">
        <w:rPr>
          <w:lang w:val="en-US"/>
        </w:rPr>
        <w:tab/>
        <w:t>Hard-</w:t>
      </w:r>
      <w:proofErr w:type="spellStart"/>
      <w:r w:rsidRPr="00EE09FF">
        <w:rPr>
          <w:lang w:val="en-US"/>
        </w:rPr>
        <w:t>addr</w:t>
      </w:r>
      <w:proofErr w:type="spellEnd"/>
      <w:r w:rsidRPr="00EE09FF">
        <w:rPr>
          <w:lang w:val="en-US"/>
        </w:rPr>
        <w:t xml:space="preserve"> </w:t>
      </w:r>
      <w:r w:rsidRPr="00EE09FF">
        <w:rPr>
          <w:lang w:val="en-US"/>
        </w:rPr>
        <w:tab/>
        <w:t xml:space="preserve">Delay </w:t>
      </w:r>
      <w:r w:rsidRPr="00EE09FF">
        <w:rPr>
          <w:lang w:val="en-US"/>
        </w:rPr>
        <w:tab/>
        <w:t xml:space="preserve">Date </w:t>
      </w:r>
      <w:r w:rsidRPr="00EE09FF">
        <w:rPr>
          <w:lang w:val="en-US"/>
        </w:rPr>
        <w:tab/>
      </w:r>
      <w:proofErr w:type="spellStart"/>
      <w:r w:rsidRPr="00EE09FF">
        <w:rPr>
          <w:lang w:val="en-US"/>
        </w:rPr>
        <w:t>Host_name</w:t>
      </w:r>
      <w:proofErr w:type="spellEnd"/>
    </w:p>
    <w:p w:rsidR="00EE09FF" w:rsidRPr="00EE09FF" w:rsidRDefault="00EE09FF" w:rsidP="00EE09FF">
      <w:pPr>
        <w:rPr>
          <w:lang w:val="en-US"/>
        </w:rPr>
      </w:pPr>
      <w:r w:rsidRPr="00EE09FF">
        <w:rPr>
          <w:lang w:val="en-US"/>
        </w:rPr>
        <w:t xml:space="preserve">128.141.202.101 </w:t>
      </w:r>
      <w:r w:rsidRPr="00EE09FF">
        <w:rPr>
          <w:lang w:val="en-US"/>
        </w:rPr>
        <w:tab/>
        <w:t xml:space="preserve">00.00.0c.02.69.7d </w:t>
      </w:r>
      <w:r w:rsidRPr="00EE09FF">
        <w:rPr>
          <w:lang w:val="en-US"/>
        </w:rPr>
        <w:tab/>
        <w:t xml:space="preserve">440 </w:t>
      </w:r>
      <w:r w:rsidRPr="00EE09FF">
        <w:rPr>
          <w:lang w:val="en-US"/>
        </w:rPr>
        <w:tab/>
        <w:t xml:space="preserve">10/10/95 </w:t>
      </w:r>
      <w:r w:rsidRPr="00EE09FF">
        <w:rPr>
          <w:lang w:val="en-US"/>
        </w:rPr>
        <w:tab/>
        <w:t>na48-1.cern.ch</w:t>
      </w:r>
    </w:p>
    <w:p w:rsidR="00EE09FF" w:rsidRPr="00EE09FF" w:rsidRDefault="00EE09FF" w:rsidP="00EE09FF">
      <w:pPr>
        <w:rPr>
          <w:lang w:val="en-US"/>
        </w:rPr>
      </w:pPr>
      <w:r w:rsidRPr="00EE09FF">
        <w:rPr>
          <w:lang w:val="en-US"/>
        </w:rPr>
        <w:t xml:space="preserve">192.148.166.102 </w:t>
      </w:r>
      <w:r w:rsidRPr="00EE09FF">
        <w:rPr>
          <w:lang w:val="en-US"/>
        </w:rPr>
        <w:tab/>
        <w:t xml:space="preserve">00.00.a7.14.41.c2 </w:t>
      </w:r>
      <w:r w:rsidRPr="00EE09FF">
        <w:rPr>
          <w:lang w:val="en-US"/>
        </w:rPr>
        <w:tab/>
        <w:t xml:space="preserve">5 </w:t>
      </w:r>
      <w:r w:rsidRPr="00EE09FF">
        <w:rPr>
          <w:lang w:val="en-US"/>
        </w:rPr>
        <w:tab/>
        <w:t xml:space="preserve">10/10/95 </w:t>
      </w:r>
      <w:r w:rsidRPr="00EE09FF">
        <w:rPr>
          <w:lang w:val="en-US"/>
        </w:rPr>
        <w:tab/>
      </w:r>
    </w:p>
    <w:p w:rsidR="00EE09FF" w:rsidRPr="00EE09FF" w:rsidRDefault="00EE09FF" w:rsidP="00EE09FF">
      <w:pPr>
        <w:rPr>
          <w:lang w:val="en-US"/>
        </w:rPr>
      </w:pPr>
      <w:r w:rsidRPr="00EE09FF">
        <w:rPr>
          <w:lang w:val="en-US"/>
        </w:rPr>
        <w:t xml:space="preserve">192.148.166.237 </w:t>
      </w:r>
      <w:r w:rsidRPr="00EE09FF">
        <w:rPr>
          <w:lang w:val="en-US"/>
        </w:rPr>
        <w:tab/>
        <w:t xml:space="preserve">00.00.0c.02.69.7d </w:t>
      </w:r>
      <w:r w:rsidRPr="00EE09FF">
        <w:rPr>
          <w:lang w:val="en-US"/>
        </w:rPr>
        <w:tab/>
        <w:t xml:space="preserve">5 </w:t>
      </w:r>
      <w:r w:rsidRPr="00EE09FF">
        <w:rPr>
          <w:lang w:val="en-US"/>
        </w:rPr>
        <w:tab/>
        <w:t xml:space="preserve">10/10/95 </w:t>
      </w:r>
      <w:r w:rsidRPr="00EE09FF">
        <w:rPr>
          <w:lang w:val="en-US"/>
        </w:rPr>
        <w:tab/>
        <w:t>ITEP-M9.Relcom.ITEP.RU</w:t>
      </w:r>
    </w:p>
    <w:p w:rsidR="00EE09FF" w:rsidRDefault="00EE09FF" w:rsidP="00EE09FF">
      <w:r>
        <w:t xml:space="preserve">где в левой колонке записаны IP-адреса, имена которых ищутся, во второй - записаны аппаратные адреса интерфейсов, через которые доступны искомые объекты. Поскольку первая и третья строки относятся к внешним по отношению к узлу ITEP объектам, здесь записан адрес интерфейса пограничного маршрутизатора. В третьей колонке содержится значение RTT в </w:t>
      </w:r>
      <w:proofErr w:type="spellStart"/>
      <w:r>
        <w:t>мсек</w:t>
      </w:r>
      <w:proofErr w:type="spellEnd"/>
      <w:r>
        <w:t xml:space="preserve">, а в </w:t>
      </w:r>
      <w:proofErr w:type="spellStart"/>
      <w:r>
        <w:t>оследней</w:t>
      </w:r>
      <w:proofErr w:type="spellEnd"/>
      <w:r>
        <w:t xml:space="preserve"> - имена объектов. IP-адр</w:t>
      </w:r>
      <w:bookmarkStart w:id="6" w:name="_GoBack"/>
      <w:bookmarkEnd w:id="6"/>
      <w:r>
        <w:t>есу 192.148.166.102 не соответствует никакого имени.</w:t>
      </w:r>
    </w:p>
    <w:p w:rsidR="00A5708E" w:rsidRDefault="002E5AC6" w:rsidP="00A5708E">
      <w:pPr>
        <w:pStyle w:val="2"/>
        <w:ind w:left="0" w:firstLine="0"/>
      </w:pPr>
      <w:bookmarkStart w:id="7" w:name="_Toc501975510"/>
      <w:r>
        <w:t xml:space="preserve">Анализ содержимого сетевых пакетов </w:t>
      </w:r>
      <w:r>
        <w:rPr>
          <w:lang w:val="en-US"/>
        </w:rPr>
        <w:t>DNS</w:t>
      </w:r>
      <w:r w:rsidRPr="002E5AC6">
        <w:t>????</w:t>
      </w:r>
      <w:r>
        <w:t xml:space="preserve"> Или это в 2 части?</w:t>
      </w:r>
      <w:bookmarkEnd w:id="7"/>
    </w:p>
    <w:p w:rsidR="003C7522" w:rsidRPr="00587116" w:rsidRDefault="00587116" w:rsidP="003C7522">
      <w:pPr>
        <w:pStyle w:val="23"/>
        <w:numPr>
          <w:ilvl w:val="0"/>
          <w:numId w:val="32"/>
        </w:numPr>
        <w:shd w:val="clear" w:color="auto" w:fill="auto"/>
        <w:tabs>
          <w:tab w:val="left" w:pos="1404"/>
        </w:tabs>
        <w:spacing w:before="0" w:after="0" w:line="360" w:lineRule="auto"/>
        <w:ind w:right="280" w:firstLine="709"/>
        <w:jc w:val="both"/>
        <w:rPr>
          <w:sz w:val="28"/>
          <w:szCs w:val="28"/>
        </w:rPr>
      </w:pPr>
      <w:r w:rsidRPr="00587116">
        <w:rPr>
          <w:sz w:val="28"/>
          <w:szCs w:val="28"/>
        </w:rPr>
        <w:t>Все</w:t>
      </w:r>
    </w:p>
    <w:p w:rsidR="00587116" w:rsidRPr="00587116" w:rsidRDefault="00587116" w:rsidP="00587116">
      <w:pPr>
        <w:pStyle w:val="23"/>
        <w:numPr>
          <w:ilvl w:val="0"/>
          <w:numId w:val="31"/>
        </w:numPr>
        <w:shd w:val="clear" w:color="auto" w:fill="auto"/>
        <w:tabs>
          <w:tab w:val="left" w:pos="1404"/>
        </w:tabs>
        <w:spacing w:before="0" w:after="0" w:line="360" w:lineRule="auto"/>
        <w:ind w:right="280" w:firstLine="709"/>
        <w:jc w:val="both"/>
      </w:pPr>
      <w:r w:rsidRPr="00587116">
        <w:rPr>
          <w:sz w:val="28"/>
          <w:szCs w:val="28"/>
        </w:rPr>
        <w:t>.</w:t>
      </w:r>
    </w:p>
    <w:p w:rsidR="000527BA" w:rsidRDefault="002E5AC6" w:rsidP="00E803D0">
      <w:pPr>
        <w:pStyle w:val="1"/>
        <w:tabs>
          <w:tab w:val="left" w:pos="426"/>
        </w:tabs>
      </w:pPr>
      <w:bookmarkStart w:id="8" w:name="_Toc501975511"/>
      <w:r>
        <w:lastRenderedPageBreak/>
        <w:t>КОНСТРУКТОРСКАЯ ЧАСТЬ</w:t>
      </w:r>
      <w:bookmarkEnd w:id="8"/>
    </w:p>
    <w:p w:rsidR="002E5AC6" w:rsidRDefault="002E5AC6" w:rsidP="002E5AC6">
      <w:pPr>
        <w:pStyle w:val="2"/>
        <w:ind w:left="0" w:firstLine="0"/>
      </w:pPr>
      <w:bookmarkStart w:id="9" w:name="_Toc501975512"/>
      <w:r>
        <w:t>Описание приложения???</w:t>
      </w:r>
      <w:bookmarkEnd w:id="9"/>
    </w:p>
    <w:p w:rsidR="002E5AC6" w:rsidRDefault="002E5AC6" w:rsidP="003C7522">
      <w:proofErr w:type="spellStart"/>
      <w:r>
        <w:t>Вапва</w:t>
      </w:r>
      <w:proofErr w:type="spellEnd"/>
    </w:p>
    <w:p w:rsidR="003C7522" w:rsidRPr="009A0FA7" w:rsidRDefault="00544679" w:rsidP="003C7522">
      <w:proofErr w:type="spellStart"/>
      <w:r>
        <w:t>стовые</w:t>
      </w:r>
      <w:proofErr w:type="spellEnd"/>
      <w:r>
        <w:t xml:space="preserve"> </w:t>
      </w:r>
    </w:p>
    <w:p w:rsidR="009A0FA7" w:rsidRPr="009A0FA7" w:rsidRDefault="009A0FA7" w:rsidP="009A0FA7">
      <w:pPr>
        <w:ind w:firstLine="0"/>
        <w:jc w:val="center"/>
      </w:pPr>
    </w:p>
    <w:p w:rsidR="009A0FA7" w:rsidRDefault="009A0FA7" w:rsidP="00946E05"/>
    <w:p w:rsidR="009A0FA7" w:rsidRDefault="009A0FA7" w:rsidP="009A0FA7">
      <w:pPr>
        <w:pStyle w:val="1"/>
        <w:tabs>
          <w:tab w:val="left" w:pos="426"/>
        </w:tabs>
      </w:pPr>
      <w:bookmarkStart w:id="10" w:name="_Toc501975513"/>
      <w:r>
        <w:lastRenderedPageBreak/>
        <w:t>ЛИСТИНГ ПРОГРАММЫ</w:t>
      </w:r>
      <w:bookmarkEnd w:id="10"/>
    </w:p>
    <w:p w:rsidR="009A0FA7" w:rsidRPr="009A0FA7" w:rsidRDefault="009A0FA7" w:rsidP="003C7522">
      <w:pPr>
        <w:rPr>
          <w:rFonts w:ascii="Tahoma" w:hAnsi="Tahoma" w:cs="Tahoma"/>
          <w:kern w:val="2"/>
          <w:sz w:val="20"/>
          <w:szCs w:val="20"/>
        </w:rPr>
      </w:pPr>
      <w:r w:rsidRPr="009A0FA7">
        <w:t xml:space="preserve">В листинге </w:t>
      </w:r>
    </w:p>
    <w:p w:rsidR="009A0FA7" w:rsidRDefault="009A0FA7" w:rsidP="00946E05"/>
    <w:p w:rsidR="009A0FA7" w:rsidRDefault="009A0FA7" w:rsidP="00946E05"/>
    <w:p w:rsidR="00325A15" w:rsidRDefault="00265316" w:rsidP="00265316">
      <w:pPr>
        <w:pStyle w:val="1"/>
        <w:numPr>
          <w:ilvl w:val="0"/>
          <w:numId w:val="0"/>
        </w:numPr>
      </w:pPr>
      <w:bookmarkStart w:id="11" w:name="_Toc501975514"/>
      <w:r>
        <w:rPr>
          <w:caps w:val="0"/>
        </w:rPr>
        <w:lastRenderedPageBreak/>
        <w:t>Заключение</w:t>
      </w:r>
      <w:bookmarkEnd w:id="11"/>
    </w:p>
    <w:p w:rsidR="003C7522" w:rsidRDefault="009A0FA7" w:rsidP="003C7522">
      <w:r>
        <w:t>Хеширование,</w:t>
      </w:r>
    </w:p>
    <w:p w:rsidR="00E37596" w:rsidRDefault="009A0FA7" w:rsidP="009A0FA7">
      <w:pPr>
        <w:rPr>
          <w:color w:val="FF0000"/>
        </w:rPr>
      </w:pPr>
      <w:r>
        <w:t>.</w:t>
      </w:r>
    </w:p>
    <w:p w:rsidR="002C3867" w:rsidRDefault="002C3867" w:rsidP="004F4558">
      <w:r>
        <w:br w:type="page"/>
      </w:r>
    </w:p>
    <w:p w:rsidR="00196D7D" w:rsidRPr="00734E40" w:rsidRDefault="00DD4D17" w:rsidP="00673756">
      <w:pPr>
        <w:pStyle w:val="1"/>
        <w:numPr>
          <w:ilvl w:val="0"/>
          <w:numId w:val="0"/>
        </w:numPr>
      </w:pPr>
      <w:bookmarkStart w:id="12" w:name="_Toc501975515"/>
      <w:r w:rsidRPr="00734E40">
        <w:lastRenderedPageBreak/>
        <w:t>Список литературы</w:t>
      </w:r>
      <w:bookmarkEnd w:id="12"/>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5"/>
      <w:headerReference w:type="default" r:id="rId16"/>
      <w:headerReference w:type="first" r:id="rId17"/>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9C4" w:rsidRDefault="00B079C4" w:rsidP="00946E05">
      <w:r>
        <w:separator/>
      </w:r>
    </w:p>
    <w:p w:rsidR="00B079C4" w:rsidRDefault="00B079C4"/>
  </w:endnote>
  <w:endnote w:type="continuationSeparator" w:id="0">
    <w:p w:rsidR="00B079C4" w:rsidRDefault="00B079C4" w:rsidP="00946E05">
      <w:r>
        <w:continuationSeparator/>
      </w:r>
    </w:p>
    <w:p w:rsidR="00B079C4" w:rsidRDefault="00B07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9C4" w:rsidRDefault="00B079C4" w:rsidP="00946E05">
      <w:r>
        <w:separator/>
      </w:r>
    </w:p>
    <w:p w:rsidR="00B079C4" w:rsidRDefault="00B079C4"/>
  </w:footnote>
  <w:footnote w:type="continuationSeparator" w:id="0">
    <w:p w:rsidR="00B079C4" w:rsidRDefault="00B079C4" w:rsidP="00946E05">
      <w:r>
        <w:continuationSeparator/>
      </w:r>
    </w:p>
    <w:p w:rsidR="00B079C4" w:rsidRDefault="00B079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A5708E" w:rsidRDefault="00A5708E" w:rsidP="002404C9">
        <w:pPr>
          <w:pStyle w:val="a7"/>
          <w:ind w:firstLine="0"/>
          <w:jc w:val="center"/>
        </w:pPr>
      </w:p>
      <w:p w:rsidR="006C325E" w:rsidRDefault="006C325E" w:rsidP="002404C9">
        <w:pPr>
          <w:pStyle w:val="a7"/>
          <w:ind w:firstLine="0"/>
          <w:jc w:val="center"/>
        </w:pPr>
        <w:r>
          <w:fldChar w:fldCharType="begin"/>
        </w:r>
        <w:r>
          <w:instrText>PAGE   \* MERGEFORMAT</w:instrText>
        </w:r>
        <w:r>
          <w:fldChar w:fldCharType="separate"/>
        </w:r>
        <w:r w:rsidR="002F6C3E">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E6765" w:rsidRPr="006E6765">
                            <w:rPr>
                              <w:rStyle w:val="13pt"/>
                              <w:noProof/>
                            </w:rPr>
                            <w:t>14</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E6765" w:rsidRPr="006E6765">
                      <w:rPr>
                        <w:rStyle w:val="13pt"/>
                        <w:noProof/>
                      </w:rPr>
                      <w:t>14</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74F87" w:rsidRPr="00674F87">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74F87" w:rsidRPr="00674F87">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15:restartNumberingAfterBreak="0">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15:restartNumberingAfterBreak="0">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15:restartNumberingAfterBreak="0">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C59DE"/>
    <w:rsid w:val="000D1064"/>
    <w:rsid w:val="000D2114"/>
    <w:rsid w:val="000F2CCA"/>
    <w:rsid w:val="00130FAF"/>
    <w:rsid w:val="001446B1"/>
    <w:rsid w:val="00152222"/>
    <w:rsid w:val="0015674F"/>
    <w:rsid w:val="001671EA"/>
    <w:rsid w:val="001766AF"/>
    <w:rsid w:val="00176F40"/>
    <w:rsid w:val="001879CE"/>
    <w:rsid w:val="00190928"/>
    <w:rsid w:val="00196D7D"/>
    <w:rsid w:val="001D381E"/>
    <w:rsid w:val="001E3823"/>
    <w:rsid w:val="0021541F"/>
    <w:rsid w:val="0022449A"/>
    <w:rsid w:val="00225BEC"/>
    <w:rsid w:val="00234A43"/>
    <w:rsid w:val="002404C9"/>
    <w:rsid w:val="00264C0A"/>
    <w:rsid w:val="00265316"/>
    <w:rsid w:val="00265800"/>
    <w:rsid w:val="0026599C"/>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F327C"/>
    <w:rsid w:val="00614043"/>
    <w:rsid w:val="0062687A"/>
    <w:rsid w:val="00643B49"/>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5942"/>
    <w:rsid w:val="007126A6"/>
    <w:rsid w:val="00713CA1"/>
    <w:rsid w:val="00734E40"/>
    <w:rsid w:val="00740027"/>
    <w:rsid w:val="00742802"/>
    <w:rsid w:val="007512EC"/>
    <w:rsid w:val="007555DB"/>
    <w:rsid w:val="00755F67"/>
    <w:rsid w:val="00775BCC"/>
    <w:rsid w:val="00776490"/>
    <w:rsid w:val="00780812"/>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47F5"/>
    <w:rsid w:val="00935B57"/>
    <w:rsid w:val="009418DE"/>
    <w:rsid w:val="00946E05"/>
    <w:rsid w:val="00951BB3"/>
    <w:rsid w:val="00960882"/>
    <w:rsid w:val="00966130"/>
    <w:rsid w:val="00981332"/>
    <w:rsid w:val="00982D61"/>
    <w:rsid w:val="009A0FA7"/>
    <w:rsid w:val="009B257A"/>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74E3F"/>
    <w:rsid w:val="00A83AEF"/>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B5FB4"/>
    <w:rsid w:val="00BC4C78"/>
    <w:rsid w:val="00BC509F"/>
    <w:rsid w:val="00BD04E7"/>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73EFB"/>
    <w:rsid w:val="00D816A7"/>
    <w:rsid w:val="00D821B1"/>
    <w:rsid w:val="00D954BD"/>
    <w:rsid w:val="00DC2F11"/>
    <w:rsid w:val="00DD30F3"/>
    <w:rsid w:val="00DD4D17"/>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A5BE3"/>
    <w:rsid w:val="00EC12DC"/>
    <w:rsid w:val="00EC34B2"/>
    <w:rsid w:val="00EE09FF"/>
    <w:rsid w:val="00EE2C22"/>
    <w:rsid w:val="00EE6C3C"/>
    <w:rsid w:val="00F2039E"/>
    <w:rsid w:val="00F419F5"/>
    <w:rsid w:val="00F4247C"/>
    <w:rsid w:val="00F45BDD"/>
    <w:rsid w:val="00F529F8"/>
    <w:rsid w:val="00F52BAA"/>
    <w:rsid w:val="00F5713B"/>
    <w:rsid w:val="00F70A04"/>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itforum.ru/nets/semenov/4/44/dns_4412.shtml" TargetMode="Externa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9E735-FBC8-4C3F-8085-13495CAB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18</Pages>
  <Words>2520</Words>
  <Characters>14370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Мамаков Алексей Владимирович</cp:lastModifiedBy>
  <cp:revision>26</cp:revision>
  <cp:lastPrinted>2017-12-11T07:51:00Z</cp:lastPrinted>
  <dcterms:created xsi:type="dcterms:W3CDTF">2017-12-04T18:46:00Z</dcterms:created>
  <dcterms:modified xsi:type="dcterms:W3CDTF">2017-12-25T12:30:00Z</dcterms:modified>
</cp:coreProperties>
</file>