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12.05.2026</w:t>
      </w:r>
    </w:p>
    <w:p>
      <w:pPr>
        <w:pStyle w:val="Title"/>
      </w:pPr>
      <w:r>
        <w:t>Акт о браке по детали 45.67.89 от 12.05.2026</w:t>
      </w:r>
    </w:p>
    <w:p>
      <w:pPr>
        <w:pStyle w:val="Heading2"/>
      </w:pPr>
      <w:r>
        <w:t>1. Обстоятельства</w:t>
      </w:r>
    </w:p>
    <w:p>
      <w:r>
        <w:t>1.1. При контроле партии детали 45.67.89 «Вал выходной редуктора Р-160» выявлено отклонение по твёрдости после термообработки.</w:t>
      </w:r>
    </w:p>
    <w:p>
      <w:r>
        <w:t>1.2. Количество забракованных деталей: 4 шт. из партии 94 шт.</w:t>
      </w:r>
    </w:p>
    <w:p>
      <w:r>
        <w:t>1.3. Операция, на которой выявлено несоответствие: 070 контроль ОТК.</w:t>
      </w:r>
    </w:p>
    <w:p>
      <w:pPr>
        <w:pStyle w:val="Heading2"/>
      </w:pPr>
      <w:r>
        <w:t>2. Причина</w:t>
      </w:r>
    </w:p>
    <w:p>
      <w:r>
        <w:t>2.1. Установленная причина: нарушение режима отпуска.</w:t>
      </w:r>
    </w:p>
    <w:p>
      <w:r>
        <w:t>2.2. Ответственное подразделение определяется по результатам разбора у главного технолога.</w:t>
      </w:r>
    </w:p>
    <w:p>
      <w:pPr>
        <w:pStyle w:val="Heading2"/>
      </w:pPr>
      <w:r>
        <w:t>3. Решение</w:t>
      </w:r>
    </w:p>
    <w:p>
      <w:r>
        <w:t>3.1. Принятое решение: перешлифовать нельзя, партия переведена в брак.</w:t>
      </w:r>
    </w:p>
    <w:p>
      <w:r>
        <w:t>3.2. Стоимость брака относится на затраты цеха и учитывается в отчёте за месяц.</w:t>
      </w:r>
    </w:p>
    <w:p>
      <w:r>
        <w:t>3.3. Корректирующие действия и срок их выполнения определяются отдельным протоколом разбора.</w:t>
      </w:r>
    </w:p>
    <w:p>
      <w:pPr>
        <w:pStyle w:val="Heading2"/>
      </w:pPr>
      <w:r>
        <w:t>4. Подписи</w:t>
      </w:r>
    </w:p>
    <w:p>
      <w:r>
        <w:t>Контролёр ОТК, мастер участка,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