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02.06.2026</w:t>
      </w:r>
    </w:p>
    <w:p>
      <w:pPr>
        <w:pStyle w:val="Title"/>
      </w:pPr>
      <w:r>
        <w:t>Акт о браке по детали 88.14.50 от 02.06.2026</w:t>
      </w:r>
    </w:p>
    <w:p>
      <w:pPr>
        <w:pStyle w:val="Heading2"/>
      </w:pPr>
      <w:r>
        <w:t>1. Обстоятельства</w:t>
      </w:r>
    </w:p>
    <w:p>
      <w:r>
        <w:t>1.1. При контроле партии детали 88.14.50 «Полумуфта упругая ø160» выявлено превышение радиального биения.</w:t>
      </w:r>
    </w:p>
    <w:p>
      <w:r>
        <w:t>1.2. Количество забракованных деталей: 11 шт. из партии 87 шт.</w:t>
      </w:r>
    </w:p>
    <w:p>
      <w:r>
        <w:t>1.3. Операция, на которой выявлено несоответствие: 070 контроль ОТК.</w:t>
      </w:r>
    </w:p>
    <w:p>
      <w:pPr>
        <w:pStyle w:val="Heading2"/>
      </w:pPr>
      <w:r>
        <w:t>2. Причина</w:t>
      </w:r>
    </w:p>
    <w:p>
      <w:r>
        <w:t>2.1. Установленная причина: износ центров станка.</w:t>
      </w:r>
    </w:p>
    <w:p>
      <w:r>
        <w:t>2.2. Ответственное подразделение определяется по результатам разбора у главного технолога.</w:t>
      </w:r>
    </w:p>
    <w:p>
      <w:pPr>
        <w:pStyle w:val="Heading2"/>
      </w:pPr>
      <w:r>
        <w:t>3. Решение</w:t>
      </w:r>
    </w:p>
    <w:p>
      <w:r>
        <w:t>3.1. Принятое решение: детали направлены на перешлифовку.</w:t>
      </w:r>
    </w:p>
    <w:p>
      <w:r>
        <w:t>3.2. Стоимость брака относится на затраты цеха и учитывается в отчёте за месяц.</w:t>
      </w:r>
    </w:p>
    <w:p>
      <w:r>
        <w:t>3.3. Корректирующие действия и срок их выполнения определяются отдельным протоколом разбора.</w:t>
      </w:r>
    </w:p>
    <w:p>
      <w:pPr>
        <w:pStyle w:val="Heading2"/>
      </w:pPr>
      <w:r>
        <w:t>4. Подписи</w:t>
      </w:r>
    </w:p>
    <w:p>
      <w:r>
        <w:t>Контролёр ОТК, мастер участка,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