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23.06.2026</w:t>
      </w:r>
    </w:p>
    <w:p>
      <w:pPr>
        <w:pStyle w:val="Title"/>
      </w:pPr>
      <w:r>
        <w:t>Акт о браке по детали 52.31.11 от 23.06.2026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52.31.11 «Шестерня цилиндрическая z=38, m=4» выявлено раковины на литой поверхности.</w:t>
      </w:r>
    </w:p>
    <w:p>
      <w:r>
        <w:t>1.2. Количество забракованных деталей: 17 шт. из партии 108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дефект отливки поставщика.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претензия поставщику.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