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Главный технолог</w:t>
      </w:r>
    </w:p>
    <w:p>
      <w:r>
        <w:rPr>
          <w:i/>
        </w:rPr>
        <w:t>Дата утверждения: 06.07.2026</w:t>
      </w:r>
    </w:p>
    <w:p>
      <w:r>
        <w:rPr>
          <w:i/>
        </w:rPr>
        <w:t>Вводится в действие с 14.07.2026</w:t>
      </w:r>
    </w:p>
    <w:p>
      <w:pPr>
        <w:pStyle w:val="Title"/>
      </w:pPr>
      <w:r>
        <w:t>Извещение об изменении технологической карты на деталь 45.67.89 «Вал выходной редуктора Р-160» (по рекламации АО «Редмаш»)</w:t>
      </w:r>
    </w:p>
    <w:p>
      <w:pPr>
        <w:pStyle w:val="Heading2"/>
      </w:pPr>
      <w:r>
        <w:t>1. Основание изменения</w:t>
      </w:r>
    </w:p>
    <w:p>
      <w:r>
        <w:t>1.1. Рекламация АО «Редмаш» от 18.06.2026 на партию детали 45.67.89 «Вал выходной редуктора Р-160»: при входном контроле у заказчика радиальное биение шеек под подшипники у части деталей превышает норму, зафиксированную в ТК-45.67.89, ред. 1.</w:t>
      </w:r>
    </w:p>
    <w:p>
      <w:r>
        <w:t>1.2. Основание подтверждено актом о браке AKT-BRAK-20260623-03 и отчётом 8D-2026-01. Коренная причина — износ центров передней и задней бабки станка 3М151, инв. № ОС-1066, в сочетании с выборочным характером операционного контроля на операции 070.</w:t>
      </w:r>
    </w:p>
    <w:p>
      <w:pPr>
        <w:pStyle w:val="Heading2"/>
      </w:pPr>
      <w:r>
        <w:t>2. Что изменяется</w:t>
      </w:r>
    </w:p>
    <w:p>
      <w:r>
        <w:t>2.1. Ужесточается норма радиального биения и вводится сплошной контроль первых партий после внедрения изменения.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Пункт</w:t>
            </w:r>
          </w:p>
        </w:tc>
        <w:tc>
          <w:tcPr>
            <w:tcW w:type="dxa" w:w="2880"/>
          </w:tcPr>
          <w:p>
            <w:r>
              <w:t>Было</w:t>
            </w:r>
          </w:p>
        </w:tc>
        <w:tc>
          <w:tcPr>
            <w:tcW w:type="dxa" w:w="2880"/>
          </w:tcPr>
          <w:p>
            <w:r>
              <w:t>Стало</w:t>
            </w:r>
          </w:p>
        </w:tc>
      </w:tr>
      <w:tr>
        <w:tc>
          <w:tcPr>
            <w:tcW w:type="dxa" w:w="2880"/>
          </w:tcPr>
          <w:p>
            <w:r>
              <w:t>Радиальное биение, мм, не более</w:t>
            </w:r>
          </w:p>
        </w:tc>
        <w:tc>
          <w:tcPr>
            <w:tcW w:type="dxa" w:w="2880"/>
          </w:tcPr>
          <w:p>
            <w:r>
              <w:t>0,05</w:t>
            </w:r>
          </w:p>
        </w:tc>
        <w:tc>
          <w:tcPr>
            <w:tcW w:type="dxa" w:w="2880"/>
          </w:tcPr>
          <w:p>
            <w:r>
              <w:t>0,03</w:t>
            </w:r>
          </w:p>
        </w:tc>
      </w:tr>
      <w:tr>
        <w:tc>
          <w:tcPr>
            <w:tcW w:type="dxa" w:w="2880"/>
          </w:tcPr>
          <w:p>
            <w:r>
              <w:t>Объём контроля операции 070</w:t>
            </w:r>
          </w:p>
        </w:tc>
        <w:tc>
          <w:tcPr>
            <w:tcW w:type="dxa" w:w="2880"/>
          </w:tcPr>
          <w:p>
            <w:r>
              <w:t>выборочный, 10 % партии</w:t>
            </w:r>
          </w:p>
        </w:tc>
        <w:tc>
          <w:tcPr>
            <w:tcW w:type="dxa" w:w="2880"/>
          </w:tcPr>
          <w:p>
            <w:r>
              <w:t>сплошной (100 %) для первых трёх партий после внедрения, далее выборочный 10 %</w:t>
            </w:r>
          </w:p>
        </w:tc>
      </w:tr>
    </w:tbl>
    <w:p>
      <w:pPr>
        <w:pStyle w:val="Heading2"/>
      </w:pPr>
      <w:r>
        <w:t>3. Документы, в которые вносится изменение</w:t>
      </w:r>
    </w:p>
    <w:p>
      <w:r>
        <w:t>3.1. ТК-45.67.89, ред. 1, пункт 3 «Контролируемые параметры».</w:t>
      </w:r>
    </w:p>
    <w:p>
      <w:r>
        <w:t>3.2. Методика ОТК-МИ-002 (контроль радиального биения) — в части объёма контроля первых партий.</w:t>
      </w:r>
    </w:p>
    <w:p>
      <w:pPr>
        <w:pStyle w:val="Heading2"/>
      </w:pPr>
      <w:r>
        <w:t>4. Указания по заделу и незавершённому производству</w:t>
      </w:r>
    </w:p>
    <w:p>
      <w:r>
        <w:t>4.1. Детали 45.67.89, находящиеся в заделе после операции 055 и не прошедшие контроль ОТК, подлежат перемеру по новой норме до передачи на операцию 070.</w:t>
      </w:r>
    </w:p>
    <w:p>
      <w:r>
        <w:t>4.2. Детали с биением от 0,03 до 0,05 мм, выявленные в заделе, признаются несоответствующими и оформляются актом о браке по регламенту ОТК-РЕГЛ-003.</w:t>
      </w:r>
    </w:p>
    <w:p>
      <w:pPr>
        <w:pStyle w:val="Heading2"/>
      </w:pPr>
      <w:r>
        <w:t>5. Указания по остаткам на складе и у заказчика</w:t>
      </w:r>
    </w:p>
    <w:p>
      <w:r>
        <w:t>5.1. Остаток готовых деталей 45.67.89 на складе кладовщик передаёт в ОТК для перемера радиального биения до отгрузки.</w:t>
      </w:r>
    </w:p>
    <w:p>
      <w:r>
        <w:t>5.2. Менеджер по продажам письменно уведомляет АО «Редмаш» о принятых мерах и сроке поставки партий, прошедших контроль по новой норме.</w:t>
      </w:r>
    </w:p>
    <w:p>
      <w:pPr>
        <w:pStyle w:val="Heading2"/>
      </w:pPr>
      <w:r>
        <w:t>6. Срок внедрения и ответственные роли</w:t>
      </w:r>
    </w:p>
    <w:p>
      <w:r>
        <w:t>6.1. Извещение вводится в действие с 14.07.2026.</w:t>
      </w:r>
    </w:p>
    <w:p>
      <w:r>
        <w:t>6.2. Ответственный за внесение изменений в ТК и методику — главный технолог. Ответственный за организацию сплошного контроля первых трёх партий — начальник ОТК.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