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07.09.2026</w:t>
      </w:r>
    </w:p>
    <w:p>
      <w:r>
        <w:rPr>
          <w:i/>
        </w:rPr>
        <w:t>Вводится в действие с 15.09.2026</w:t>
      </w:r>
    </w:p>
    <w:p>
      <w:pPr>
        <w:pStyle w:val="Title"/>
      </w:pPr>
      <w:r>
        <w:t>Извещение об унификации маркировки деталей 45.67.95 и 45.67.96</w:t>
      </w:r>
    </w:p>
    <w:p>
      <w:pPr>
        <w:pStyle w:val="Heading2"/>
      </w:pPr>
      <w:r>
        <w:t>1. Основание изменения</w:t>
      </w:r>
    </w:p>
    <w:p>
      <w:r>
        <w:t>1.1. Детали 45.67.95 «Вал редуктора Р-125, исполнение 2» и 45.67.96 «Вал редуктора Р-125, исполнение 3 (удлинённый хвостовик)» отличаются только длиной хвостовика и по опыту цеха №1 регулярно смешиваются в межоперационном заделе.</w:t>
      </w:r>
    </w:p>
    <w:p>
      <w:r>
        <w:t>1.2. Главный технолог принял решение унифицировать порядок маркировки обеих деталей для исключения путаницы партий.</w:t>
      </w:r>
    </w:p>
    <w:p>
      <w:pPr>
        <w:pStyle w:val="Heading2"/>
      </w:pPr>
      <w:r>
        <w:t>2. Что изменяется</w:t>
      </w:r>
    </w:p>
    <w:p>
      <w:r>
        <w:t>2.1. Изменяется операция, на которой на деталь наносится чертёжный номер.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Операция нанесения чертёжного номера</w:t>
            </w:r>
          </w:p>
        </w:tc>
        <w:tc>
          <w:tcPr>
            <w:tcW w:type="dxa" w:w="2880"/>
          </w:tcPr>
          <w:p>
            <w:r>
              <w:t>070 контроль ОТК (после всех операций)</w:t>
            </w:r>
          </w:p>
        </w:tc>
        <w:tc>
          <w:tcPr>
            <w:tcW w:type="dxa" w:w="2880"/>
          </w:tcPr>
          <w:p>
            <w:r>
              <w:t>015 токарная (в начале маршрута, клеймением)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ТК-45.67.95, ред. 1, раздел 2, операция 015 токарная.</w:t>
      </w:r>
    </w:p>
    <w:p>
      <w:r>
        <w:t>3.2. ТК-45.67.96, ред. 1, раздел 2, операция 015 токарная.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Партии деталей 45.67.95 и 45.67.96, находящиеся в заделе без маркировки, промаркировываются мастером участка перед передачей на операцию 025 фрезерная; смешивать партии без маркировки запрещается.</w:t>
      </w:r>
    </w:p>
    <w:p>
      <w:r>
        <w:t>4.2. Мастер участка проверяет соответствие маркировки сопроводительному листу партии на каждой последующей операции маршрута вплоть до контроля ОТК.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изменение касается только промежуточной маркировки в процессе обработки.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15.09.2026.</w:t>
      </w:r>
    </w:p>
    <w:p>
      <w:r>
        <w:t>6.2. Ответственный за корректировку обеих технологических карт — главный технолог. Ответственный за исполнение маркировки на участке — мастер участка.</w:t>
      </w:r>
    </w:p>
    <w:p>
      <w:r>
        <w:t>6.3. Начальник цеха №1 информирует контролёра ОТК о переходе на новый порядок маркировки для учёта при приёмке партий на операции 070.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