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07.05.2026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21.05.2026</w:t>
      </w:r>
    </w:p>
    <w:p>
      <w:pPr>
        <w:pStyle w:val="Title"/>
      </w:pPr>
      <w:r>
        <w:t>Методика контроля толщины гальванического покрытия</w:t>
      </w:r>
    </w:p>
    <w:p>
      <w:pPr>
        <w:pStyle w:val="Heading2"/>
      </w:pPr>
      <w:r>
        <w:t>1. Область применения</w:t>
      </w:r>
    </w:p>
    <w:p>
      <w:r>
        <w:t>1.1. Настоящая методика устанавливает порядок контроля толщины цинкового и хромового покрытия деталей, обработанных на линиях цеха №4, — линии цинкования АГ-40 и линии хромирования АГ-25Х.</w:t>
      </w:r>
    </w:p>
    <w:p>
      <w:r>
        <w:t>1.2. Методика применяется для деталей, в технологической карте которых указано значение coating или coating_um (например, детали 61.05.24, 73.22.30, 73.22.31, 73.22.34, 88.14.42, 88.14.48, 88.14.49).</w:t>
      </w:r>
    </w:p>
    <w:p>
      <w:pPr>
        <w:pStyle w:val="Heading2"/>
      </w:pPr>
      <w:r>
        <w:t>2. Средства измерений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Средство измерения</w:t>
            </w:r>
          </w:p>
        </w:tc>
        <w:tc>
          <w:tcPr>
            <w:tcW w:type="dxa" w:w="2880"/>
          </w:tcPr>
          <w:p>
            <w:r>
              <w:t>Диапазон</w:t>
            </w:r>
          </w:p>
        </w:tc>
        <w:tc>
          <w:tcPr>
            <w:tcW w:type="dxa" w:w="2880"/>
          </w:tcPr>
          <w:p>
            <w:r>
              <w:t>Погрешность</w:t>
            </w:r>
          </w:p>
        </w:tc>
      </w:tr>
      <w:tr>
        <w:tc>
          <w:tcPr>
            <w:tcW w:type="dxa" w:w="2880"/>
          </w:tcPr>
          <w:p>
            <w:r>
              <w:t>Толщиномер покрытий магнитно-вихретоковый МТ-40НЦ</w:t>
            </w:r>
          </w:p>
        </w:tc>
        <w:tc>
          <w:tcPr>
            <w:tcW w:type="dxa" w:w="2880"/>
          </w:tcPr>
          <w:p>
            <w:r>
              <w:t>0…1000 мкм</w:t>
            </w:r>
          </w:p>
        </w:tc>
        <w:tc>
          <w:tcPr>
            <w:tcW w:type="dxa" w:w="2880"/>
          </w:tcPr>
          <w:p>
            <w:r>
              <w:t>±(1 + 0,03·h) мкм</w:t>
            </w:r>
          </w:p>
        </w:tc>
      </w:tr>
      <w:tr>
        <w:tc>
          <w:tcPr>
            <w:tcW w:type="dxa" w:w="2880"/>
          </w:tcPr>
          <w:p>
            <w:r>
              <w:t>Образец детали с известной толщиной покрытия для поверки прибора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перед началом каждой смены</w:t>
            </w:r>
          </w:p>
        </w:tc>
      </w:tr>
    </w:tbl>
    <w:p>
      <w:r>
        <w:t>2.1. Толщиномер поверяется перед началом каждой смены по контрольному образцу с известной толщиной покрытия; при отклонении показаний свыше погрешности прибора работа на нём приостанавливается до поверки.</w:t>
      </w:r>
    </w:p>
    <w:p>
      <w:pPr>
        <w:pStyle w:val="Heading2"/>
      </w:pPr>
      <w:r>
        <w:t>3. Условия контроля</w:t>
      </w:r>
    </w:p>
    <w:p>
      <w:r>
        <w:t>3.1. Контроль проводится после полного высыхания и остывания детали, но не ранее 30 минут после выхода из линии нанесения покрытия.</w:t>
      </w:r>
    </w:p>
    <w:p>
      <w:r>
        <w:t>3.2. Поверхность детали в месте измерения очищается от загрязнений и следов сушки без повреждения покрытия.</w:t>
      </w:r>
    </w:p>
    <w:p>
      <w:r>
        <w:t>3.3. Измерение не проводится на скруглениях, кромках и в зонах, где толщина покрытия по технологии заведомо неравномерна.</w:t>
      </w:r>
    </w:p>
    <w:p>
      <w:pPr>
        <w:pStyle w:val="Heading2"/>
      </w:pPr>
      <w:r>
        <w:t>4. Порядок измерения</w:t>
      </w:r>
    </w:p>
    <w:p>
      <w:r>
        <w:t>4.1. Датчик толщиномера устанавливается перпендикулярно контролируемой поверхности без давления, деформирующего покрытие.</w:t>
      </w:r>
    </w:p>
    <w:p>
      <w:r>
        <w:t>4.2. Измерение толщины покрытия проводится не менее чем в пяти точках, равномерно распределённых по контролируемой поверхности детали.</w:t>
      </w:r>
    </w:p>
    <w:p>
      <w:r>
        <w:t>4.3. Для деталей с покрытием на нескольких поверхностях (например, наружной и торцевой) измерение проводится отдельно для каждой поверхности, указанной в технологической карте.</w:t>
      </w:r>
    </w:p>
    <w:p>
      <w:pPr>
        <w:pStyle w:val="Heading2"/>
      </w:pPr>
      <w:r>
        <w:t>5. Обработка результата</w:t>
      </w:r>
    </w:p>
    <w:p>
      <w:r>
        <w:t>5.1. За результат контроля толщины покрытия детали принимается наименьшее из измеренных значений.</w:t>
      </w:r>
    </w:p>
    <w:p>
      <w:r>
        <w:t>5.2. Деталь признаётся соответствующей, если наименьшее измеренное значение толщины покрытия не менее нормы, указанной в технологической карте.</w:t>
      </w:r>
    </w:p>
    <w:p>
      <w:pPr>
        <w:pStyle w:val="Heading2"/>
      </w:pPr>
      <w:r>
        <w:t>6. Оформление и хранение записей</w:t>
      </w:r>
    </w:p>
    <w:p>
      <w:r>
        <w:t>6.1. Результаты контроля заносятся в журнал контроля гальванических покрытий с указанием обозначения детали, линии нанесения покрытия и измеренных значений толщины.</w:t>
      </w:r>
    </w:p>
    <w:p>
      <w:r>
        <w:t>6.2. Журнал контроля гальванических покрытий хранится в ОТК не менее трёх лет.</w:t>
      </w:r>
    </w:p>
    <w:p>
      <w:pPr>
        <w:pStyle w:val="Heading2"/>
      </w:pPr>
      <w:r>
        <w:t>7. Действия при несоответствии</w:t>
      </w:r>
    </w:p>
    <w:p>
      <w:r>
        <w:t>7.1. При выявлении толщины покрытия менее установленной нормы деталь изолируется, и дальнейшие действия выполняются в порядке, установленном ОТК-РЕГЛ-004.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