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УТВЕРЖДАЮ: Начальник ОТК</w:t>
      </w:r>
    </w:p>
    <w:p>
      <w:r>
        <w:rPr>
          <w:i/>
        </w:rPr>
        <w:t>Дата утверждения: 27.01.2026</w:t>
      </w:r>
    </w:p>
    <w:p>
      <w:r>
        <w:rPr>
          <w:i/>
        </w:rPr>
        <w:t>Редакция: ред. 1</w:t>
      </w:r>
    </w:p>
    <w:p>
      <w:r>
        <w:rPr>
          <w:i/>
        </w:rPr>
        <w:t>Вводится в действие с 10.02.2026</w:t>
      </w:r>
    </w:p>
    <w:p>
      <w:pPr>
        <w:pStyle w:val="Title"/>
      </w:pPr>
      <w:r>
        <w:t>Регламент приёмо-сдаточных испытаний собранных узлов</w:t>
      </w:r>
    </w:p>
    <w:p>
      <w:pPr>
        <w:pStyle w:val="Heading2"/>
      </w:pPr>
      <w:r>
        <w:t>1. Назначение и область применения</w:t>
      </w:r>
    </w:p>
    <w:p>
      <w:r>
        <w:t>1.1. Настоящий регламент устанавливает порядок приёмо-сдаточных испытаний собранных узлов на площадке Тольятти перед их консервацией и отгрузкой заказчику.</w:t>
      </w:r>
    </w:p>
    <w:p>
      <w:r>
        <w:t>1.2. Регламент распространяется на узел редуктора Р-160 в сборе (88.14.53), гидроцилиндр ГЦ-100/56 в сборе (88.14.54) и натяжную станцию конвейера в сборе (88.14.55), собираемые в цехе №5.</w:t>
      </w:r>
    </w:p>
    <w:p>
      <w:r>
        <w:t>1.3. Испытания проводятся после операции сборки и предшествуют операции консервации.</w:t>
      </w:r>
    </w:p>
    <w:p>
      <w:pPr>
        <w:pStyle w:val="Heading2"/>
      </w:pPr>
      <w:r>
        <w:t>2. Термины и сокращения</w:t>
      </w:r>
    </w:p>
    <w:p>
      <w:pPr>
        <w:pStyle w:val="ListBullet"/>
      </w:pPr>
      <w:r>
        <w:t>ОТК — отдел технического контроля.</w:t>
      </w:r>
    </w:p>
    <w:p>
      <w:pPr>
        <w:pStyle w:val="ListBullet"/>
      </w:pPr>
      <w:r>
        <w:t>Обкатка — испытание собранного узла под нагрузкой в течение установленного времени без разборки.</w:t>
      </w:r>
    </w:p>
    <w:p>
      <w:pPr>
        <w:pStyle w:val="ListBullet"/>
      </w:pPr>
      <w:r>
        <w:t>Браковочный признак — параметр или дефект, при наличии которого узел не допускается к приёмке.</w:t>
      </w:r>
    </w:p>
    <w:p>
      <w:pPr>
        <w:pStyle w:val="Heading2"/>
      </w:pPr>
      <w:r>
        <w:t>3. Порядок предъявления узла на испытания</w:t>
      </w:r>
    </w:p>
    <w:p>
      <w:r>
        <w:t>3.1. Мастер участка сборки предъявляет собранный узел контролёру ОТК не позднее конца смены, в которую завершена сборка.</w:t>
      </w:r>
    </w:p>
    <w:p>
      <w:r>
        <w:t>3.2. Контролёр ОТК проверяет комплектность узла и наличие сопроводительной документации до начала испытаний.</w:t>
      </w:r>
    </w:p>
    <w:p>
      <w:r>
        <w:t>3.3. Узел с неполной комплектностью или без сопроводительной документации к испытаниям не допускается.</w:t>
      </w:r>
    </w:p>
    <w:p>
      <w:pPr>
        <w:pStyle w:val="Heading2"/>
      </w:pPr>
      <w:r>
        <w:t>4. Испытания редукторных узлов</w:t>
      </w:r>
    </w:p>
    <w:p>
      <w:r>
        <w:t>4.1. Узел редуктора Р-160 в сборе проходит обкатку на холостом ходу в течение 30 минут.</w:t>
      </w:r>
    </w:p>
    <w:p>
      <w:r>
        <w:t>4.2. Во время обкатки контролируются уровень шума и отсутствие течи масла из уплотнений.</w:t>
      </w:r>
    </w:p>
    <w:p>
      <w:r>
        <w:t>4.3. Уровень шума при обкатке не должен превышать 78 дБ.</w:t>
      </w:r>
    </w:p>
    <w:p>
      <w:r>
        <w:t>4.4. Течь масла из уплотнений и разъёмов корпуса во время и после обкатки не допускается.</w:t>
      </w:r>
    </w:p>
    <w:p>
      <w:pPr>
        <w:pStyle w:val="Heading2"/>
      </w:pPr>
      <w:r>
        <w:t>5. Испытания гидроцилиндров</w:t>
      </w:r>
    </w:p>
    <w:p>
      <w:r>
        <w:t>5.1. Гидроцилиндр ГЦ-100/56 в сборе испытывается на стенде СИ-ГЦ-250 (инв. № ОС-1231) давлением до 250 бар.</w:t>
      </w:r>
    </w:p>
    <w:p>
      <w:r>
        <w:t>5.2. Ход штока при испытании должен составлять 700 мм на всей длине хода без заеданий.</w:t>
      </w:r>
    </w:p>
    <w:p>
      <w:r>
        <w:t>5.3. Выдержка под пробным давлением составляет 5 минут; падение давления за это время не допускается.</w:t>
      </w:r>
    </w:p>
    <w:p>
      <w:r>
        <w:t>5.4. Внешняя и внутренняя негерметичность гидроцилиндра при испытании не допускается.</w:t>
      </w:r>
    </w:p>
    <w:p>
      <w:pPr>
        <w:pStyle w:val="Heading2"/>
      </w:pPr>
      <w:r>
        <w:t>6. Оформление протокола испытаний</w:t>
      </w:r>
    </w:p>
    <w:p>
      <w:r>
        <w:t>6.1. По результатам испытаний контролёр ОТК оформляет протокол по форме ПРОТ-{ггггммдд}-{nn} в тот же день, в который завершены испытания.</w:t>
      </w:r>
    </w:p>
    <w:p>
      <w:r>
        <w:t>6.2. Протокол подписывают контролёр ОТК и начальник ОТК.</w:t>
      </w:r>
    </w:p>
    <w:p>
      <w:r>
        <w:t>6.3. Протокол испытаний хранится в ОТК в течение трёх лет.</w:t>
      </w:r>
    </w:p>
    <w:p>
      <w:pPr>
        <w:pStyle w:val="Heading2"/>
      </w:pPr>
      <w:r>
        <w:t>7. Браковочные признаки</w:t>
      </w:r>
    </w:p>
    <w:p>
      <w:r>
        <w:t>7.1. Узел не допускается к приёмке при превышении уровня шума сверх установленной нормы.</w:t>
      </w:r>
    </w:p>
    <w:p>
      <w:r>
        <w:t>7.2. Узел не допускается к приёмке при течи масла или рабочей жидкости на любом этапе испытания.</w:t>
      </w:r>
    </w:p>
    <w:p>
      <w:r>
        <w:t>7.3. Узел не допускается к приёмке при падении испытательного давления сверх нормы, указанной в пункте 5.3.</w:t>
      </w:r>
    </w:p>
    <w:p>
      <w:r>
        <w:t>7.4. Узел не допускается к приёмке при отклонении хода штока или заедании подвижных частей.</w:t>
      </w:r>
    </w:p>
    <w:p>
      <w:pPr>
        <w:pStyle w:val="Heading2"/>
      </w:pPr>
      <w:r>
        <w:t>8. Действия при несоответствии</w:t>
      </w:r>
    </w:p>
    <w:p>
      <w:r>
        <w:t>8.1. Узел, не прошедший испытания, изолируется и маркируется в порядке, установленном ОТК-РЕГЛ-004.</w:t>
      </w:r>
    </w:p>
    <w:p>
      <w:r>
        <w:t>8.2. Решение о доработке, повторном испытании или списании узла принимает начальник ОТК совместно с главным технологом.</w:t>
      </w:r>
    </w:p>
    <w:p>
      <w:pPr>
        <w:pStyle w:val="Heading2"/>
      </w:pPr>
      <w:r>
        <w:t>9. Ответственность</w:t>
      </w:r>
    </w:p>
    <w:p>
      <w:r>
        <w:t>9.1. Ответственность за своевременность предъявления узла на испытания несёт мастер участка сборки.</w:t>
      </w:r>
    </w:p>
    <w:p>
      <w:r>
        <w:t>9.2. Ответственность за полноту и достоверность протокола испытаний несёт контролёр ОТК, проводивший испытание.</w:t>
      </w:r>
    </w:p>
    <w:p>
      <w:r>
        <w:t>9.3. Ответственность за допуск узла к консервации без положительного протокола испытаний несёт начальник цеха №5.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