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12.02.2024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01.03.2024</w:t>
      </w:r>
    </w:p>
    <w:p>
      <w:r>
        <w:rPr>
          <w:i/>
        </w:rPr>
        <w:t>Документ заменён: OTK-REGL-003-r2</w:t>
      </w:r>
    </w:p>
    <w:p>
      <w:pPr>
        <w:pStyle w:val="Title"/>
      </w:pPr>
      <w:r>
        <w:t>Регламент входного контроля материалов и комплектующих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входного контроля материалов, заготовок и комплектующих, поступающих на площадки ГК «Родос-Деталь» от поставщиков.</w:t>
      </w:r>
    </w:p>
    <w:p>
      <w:r>
        <w:t>1.2. Регламент обязателен для контролёров отдела технического контроля и кладовщиков складов материалов.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ОТК — отдел технического контроля.</w:t>
      </w:r>
    </w:p>
    <w:p>
      <w:pPr>
        <w:pStyle w:val="ListBullet"/>
      </w:pPr>
      <w:r>
        <w:t>Партия — количество материала одного наименования, поступившее по одному сопроводительному документу.</w:t>
      </w:r>
    </w:p>
    <w:p>
      <w:pPr>
        <w:pStyle w:val="Heading2"/>
      </w:pPr>
      <w:r>
        <w:t>3. Порядок приёмки партии</w:t>
      </w:r>
    </w:p>
    <w:p>
      <w:r>
        <w:t>3.1. Кладовщик принимает партию только при наличии сопроводительного документа поставщика и сертификата качества. При отсутствии сертификата партия направляется в зону карантина.</w:t>
      </w:r>
    </w:p>
    <w:p>
      <w:r>
        <w:t>3.2. Партия хранится в зоне карантина не более десяти рабочих дней. По истечении этого срока начальник ОТК принимает решение о возврате партии поставщику.</w:t>
      </w:r>
    </w:p>
    <w:p>
      <w:r>
        <w:t>3.3. Кладовщик передаёт извещение о поступлении партии в ОТК в течение двух рабочих дней с даты приёмки.</w:t>
      </w:r>
    </w:p>
    <w:p>
      <w:r>
        <w:t>3.4. Контролёр ОТК проводит входной контроль в течение пяти рабочих дней с даты извещения.</w:t>
      </w:r>
    </w:p>
    <w:p>
      <w:pPr>
        <w:pStyle w:val="Heading2"/>
      </w:pPr>
      <w:r>
        <w:t>4. Объём контроля</w:t>
      </w:r>
    </w:p>
    <w:p>
      <w:r>
        <w:t>4.1. Сплошному контролю подлежат маркировка партии и комплектность поставки.</w:t>
      </w:r>
    </w:p>
    <w:p>
      <w:r>
        <w:t>4.2. Выборочному контролю подлежат геометрические размеры проката. Объём выборки — не менее 10 % от партии, но не менее пяти единиц.</w:t>
      </w:r>
    </w:p>
    <w:p>
      <w:r>
        <w:t>4.3. Контроль твёрдости проводится только для партий, предназначенных для деталей с твёрдостью выше 50 HRC.</w:t>
      </w:r>
    </w:p>
    <w:p>
      <w:r>
        <w:t>4.4. Результаты контроля заносятся в журнал входного контроля.</w:t>
      </w:r>
    </w:p>
    <w:p>
      <w:pPr>
        <w:pStyle w:val="Heading2"/>
      </w:pPr>
      <w:r>
        <w:t>5. Оформление результатов</w:t>
      </w:r>
    </w:p>
    <w:p>
      <w:r>
        <w:t>5.1. При соответствии партии требованиям контролёр ОТК ставит штамп «Входной контроль пройден» на сопроводительном документе.</w:t>
      </w:r>
    </w:p>
    <w:p>
      <w:r>
        <w:t>5.2. При выявлении несоответствия контролёр составляет акт о несоответствии и передаёт его начальнику ОТК в течение двух рабочих дней с даты выявления.</w:t>
      </w:r>
    </w:p>
    <w:p>
      <w:r>
        <w:t>5.3. Решение о судьбе несоответствующей партии принимает начальник ОТК.</w:t>
      </w:r>
    </w:p>
    <w:p>
      <w:pPr>
        <w:pStyle w:val="Heading2"/>
      </w:pPr>
      <w:r>
        <w:t>6. Ответственность</w:t>
      </w:r>
    </w:p>
    <w:p>
      <w:r>
        <w:t>6.1. Ответственность за своевременность входного контроля несёт начальник ОТК.</w:t>
      </w:r>
    </w:p>
    <w:p>
      <w:r>
        <w:t>6.2. Ответственность за запуск в производство материала без отметки о входном контроле несёт начальник цеха, допустивший запуск.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