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30.06.2025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01.08.2025</w:t>
      </w:r>
    </w:p>
    <w:p>
      <w:r>
        <w:rPr>
          <w:i/>
        </w:rPr>
        <w:t>Взамен: OTK-REGL-003-r1</w:t>
      </w:r>
    </w:p>
    <w:p>
      <w:r>
        <w:rPr>
          <w:i/>
        </w:rPr>
        <w:t>Документ заменён: OTK-REGL-003-r3</w:t>
      </w:r>
    </w:p>
    <w:p>
      <w:pPr>
        <w:pStyle w:val="Title"/>
      </w:pPr>
      <w:r>
        <w:t>Регламент входного контроля материалов и комплектующих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входного контроля материалов, заготовок, режущего инструмента и комплектующих, поступающих на площадки ГК «Родос-Деталь» от поставщиков.</w:t>
      </w:r>
    </w:p>
    <w:p>
      <w:r>
        <w:t>1.2. Регламент обязателен для работников отдела технического контроля, отдела снабжения и кладовщиков складов материалов на всех трёх площадках.</w:t>
      </w:r>
    </w:p>
    <w:p>
      <w:r>
        <w:t>1.3. Действие регламента не распространяется на средства индивидуальной защиты и хозяйственные материалы.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ОТК — отдел технического контроля.</w:t>
      </w:r>
    </w:p>
    <w:p>
      <w:pPr>
        <w:pStyle w:val="ListBullet"/>
      </w:pPr>
      <w:r>
        <w:t>Партия — количество материала одного наименования, одной плавки, поступившее по одному УПД.</w:t>
      </w:r>
    </w:p>
    <w:p>
      <w:pPr>
        <w:pStyle w:val="ListBullet"/>
      </w:pPr>
      <w:r>
        <w:t>Сертификат — документ поставщика о качестве материала с указанием плавки и химического состава.</w:t>
      </w:r>
    </w:p>
    <w:p>
      <w:pPr>
        <w:pStyle w:val="Heading2"/>
      </w:pPr>
      <w:r>
        <w:t>3. Порядок приёмки партии</w:t>
      </w:r>
    </w:p>
    <w:p>
      <w:r>
        <w:t>3.1. Кладовщик принимает партию только при наличии УПД и сертификата качества поставщика. При отсутствии сертификата партия размещается в зоне карантина и к обработке не допускается. Срок нахождения партии в зоне карантина не должен превышать семи рабочих дней; по истечении этого срока начальник ОТК принимает решение о возврате партии поставщику.</w:t>
      </w:r>
    </w:p>
    <w:p>
      <w:r>
        <w:t>3.2. Кладовщик регистрирует поступление в 1С:ERP и в течение одного рабочего дня передаёт извещение в ОТК.</w:t>
      </w:r>
    </w:p>
    <w:p>
      <w:r>
        <w:t>3.3. Контролёр ОТК проводит контроль в течение пяти рабочих дней с даты извещения. Для партий, поступивших под срочный заказ, срок сокращается до двух рабочих дней по письменному распоряжению начальника ОТК.</w:t>
      </w:r>
    </w:p>
    <w:p>
      <w:pPr>
        <w:pStyle w:val="Heading2"/>
      </w:pPr>
      <w:r>
        <w:t>4. Объём контроля</w:t>
      </w:r>
    </w:p>
    <w:p>
      <w:r>
        <w:t>4.1. Сплошному контролю подлежат: маркировка, соответствие номера плавки сертификату, отсутствие поверхностных дефектов, комплектность поставки.</w:t>
      </w:r>
    </w:p>
    <w:p>
      <w:r>
        <w:t>4.2. Выборочному контролю подлежат геометрические размеры проката. Объём выборки — не менее 8 % от партии, но не менее пяти единиц. При обнаружении несоответствия более чем в одной единице выборка удваивается.</w:t>
      </w:r>
    </w:p>
    <w:p>
      <w:r>
        <w:t>4.3. Контроль твёрдости и химического состава проводится для партий стали 38ХС и 20Х13, а также для всех партий, предназначенных для деталей с твёрдостью выше 50 HRC.</w:t>
      </w:r>
    </w:p>
    <w:p>
      <w:r>
        <w:t>4.4. Результаты контроля заносятся в журнал входного контроля и в протокол по форме приложения 1.</w:t>
      </w:r>
    </w:p>
    <w:p>
      <w:pPr>
        <w:pStyle w:val="Heading2"/>
      </w:pPr>
      <w:r>
        <w:t>5. Оформление результатов</w:t>
      </w:r>
    </w:p>
    <w:p>
      <w:r>
        <w:t>5.1. При соответствии партии требованиям контролёр ОТК ставит штамп «Входной контроль пройден» на сопроводительном документе и допускает партию к запуску в производство.</w:t>
      </w:r>
    </w:p>
    <w:p>
      <w:r>
        <w:t>5.2. При выявлении несоответствия контролёр оформляет акт о несоответствии и передаёт его начальнику ОТК и в отдел снабжения в течение одного рабочего дня с даты выявления.</w:t>
      </w:r>
    </w:p>
    <w:p>
      <w:r>
        <w:t>5.3. Решение о судьбе несоответствующей партии (возврат поставщику, использование по отклонению, доработка) принимает начальник ОТК совместно с главным технологом в течение двух рабочих дней.</w:t>
      </w:r>
    </w:p>
    <w:p>
      <w:r>
        <w:t>5.4. Использование партии по отклонению допускается только с письменным разрешением главного технолога и с отметкой в технологической карте на партию.</w:t>
      </w:r>
    </w:p>
    <w:p>
      <w:pPr>
        <w:pStyle w:val="Heading2"/>
      </w:pPr>
      <w:r>
        <w:t>6. Взаимодействие с поставщиком</w:t>
      </w:r>
    </w:p>
    <w:p>
      <w:r>
        <w:t>6.1. Отдел снабжения направляет поставщику претензию в течение пяти рабочих дней с даты акта о несоответствии.</w:t>
      </w:r>
    </w:p>
    <w:p>
      <w:r>
        <w:t>6.2. Для поставщика ООО «Литейный двор» договором ЛД-2024/27 установлен допустимый уровень брака по литью не более 3 % партии. Превышение этого уровня является основанием для претензии независимо от возможности использования отливок.</w:t>
      </w:r>
    </w:p>
    <w:p>
      <w:pPr>
        <w:pStyle w:val="Heading2"/>
      </w:pPr>
      <w:r>
        <w:t>7. Ответственность</w:t>
      </w:r>
    </w:p>
    <w:p>
      <w:r>
        <w:t>7.1. Ответственность за своевременность контроля несёт начальник ОТК.</w:t>
      </w:r>
    </w:p>
    <w:p>
      <w:r>
        <w:t>7.2. Ответственность за запуск в производство материала без отметки о входном контроле несёт начальник цеха, допустивший запуск.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