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16.02.2026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02.03.2026</w:t>
      </w:r>
    </w:p>
    <w:p>
      <w:pPr>
        <w:pStyle w:val="Title"/>
      </w:pPr>
      <w:r>
        <w:t>Регламент согласования изменений конструкторской документации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оформления, согласования и ввода в действие изменений конструкторской документации (КД) на детали и узлы, изготавливаемые ГК «Родос-Деталь».</w:t>
      </w:r>
    </w:p>
    <w:p>
      <w:r>
        <w:t>1.2. Регламент обязателен для инженеров-технологов, главного технолога, начальников цехов, отдела технического контроля и отдела снабжения.</w:t>
      </w:r>
    </w:p>
    <w:p>
      <w:r>
        <w:t>1.3. Регламент не распространяется на разработку новой КД на изделия, не имеющие ранее выпущенной документации; порядок разработки новой КД устанавливается отдельным документом.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КД — конструкторская документация.</w:t>
      </w:r>
    </w:p>
    <w:p>
      <w:pPr>
        <w:pStyle w:val="ListBullet"/>
      </w:pPr>
      <w:r>
        <w:t>Извещение об изменении — документ, устанавливающий содержание, основание и срок ввода в действие</w:t>
      </w:r>
    </w:p>
    <w:p>
      <w:r>
        <w:t>изменения КД.</w:t>
      </w:r>
    </w:p>
    <w:p>
      <w:pPr>
        <w:pStyle w:val="ListBullet"/>
      </w:pPr>
      <w:r>
        <w:t>Задел — детали и узлы, изготовленные или закупленные по действующей до изменения документации и</w:t>
      </w:r>
    </w:p>
    <w:p>
      <w:r>
        <w:t>находящиеся на складе или в производстве на момент утверждения извещения.</w:t>
      </w:r>
    </w:p>
    <w:p>
      <w:pPr>
        <w:pStyle w:val="Heading2"/>
      </w:pPr>
      <w:r>
        <w:t>3. Основания для изменения конструкторской документации</w:t>
      </w:r>
    </w:p>
    <w:p>
      <w:r>
        <w:t>3.1. Основанием для изменения КД является: несоответствие, выявленное в процессе производства или при испытаниях, рекламация заказчика, инициатива инженера-технолога или главного технолога, изменение требований заказчика по договору, изменение применяемого материала или комплектующих.</w:t>
      </w:r>
    </w:p>
    <w:p>
      <w:r>
        <w:t>3.2. Пример: по результатам рекламации АО «Редмаш» от 18.06.2026 по детали 45.67.89 (акт о браке АКТ-БРАК-20260623-03, отчёт 8D-2026-01) оформлено извещение об изменении ИЗВ-2026-004.</w:t>
      </w:r>
    </w:p>
    <w:p>
      <w:r>
        <w:t>3.3. Инициатор изменения оформляет служебную записку на имя главного технолога с обоснованием необходимости изменения.</w:t>
      </w:r>
    </w:p>
    <w:p>
      <w:pPr>
        <w:pStyle w:val="Heading2"/>
      </w:pPr>
      <w:r>
        <w:t>4. Порядок оформления извещения</w:t>
      </w:r>
    </w:p>
    <w:p>
      <w:r>
        <w:t>4.1. Извещение об изменении оформляет инженер-технолог, ответственный за деталь или узел, по форме ИЗВ-{год}-{nnn} в порядке возрастания номеров в течение года.</w:t>
      </w:r>
    </w:p>
    <w:p>
      <w:r>
        <w:t>4.2. В извещении указываются: обозначение и наименование детали или узла, содержание изменения, основание изменения, перечень документов, подлежащих изменению (технологическая карта, методика контроля и другие), и предлагаемая дата ввода в действие.</w:t>
      </w:r>
    </w:p>
    <w:p>
      <w:r>
        <w:t>4.3. Извещение оформляется не позднее пяти рабочих дней с даты регистрации основания по разделу 3.</w:t>
      </w:r>
    </w:p>
    <w:p>
      <w:pPr>
        <w:pStyle w:val="Heading2"/>
      </w:pPr>
      <w:r>
        <w:t>5. Согласование извещения</w:t>
      </w:r>
    </w:p>
    <w:p>
      <w:r>
        <w:t>5.1. Извещение согласуют: начальник цеха, в котором изготавливается деталь, начальник ОТК и, если изменение затрагивает применяемый материал или комплектующие, начальник отдела снабжения.</w:t>
      </w:r>
    </w:p>
    <w:p>
      <w:r>
        <w:t>5.2. Если изменение связано с несоответствием, повлёкшим открытие 8D-отчёта по ОТК-РЕГЛ-004, к извещению прилагается ссылка на номер 8D-отчёта.</w:t>
      </w:r>
    </w:p>
    <w:p>
      <w:r>
        <w:t>5.3. Утверждает извещение главный технолог.</w:t>
      </w:r>
    </w:p>
    <w:p>
      <w:r>
        <w:t>5.4. Срок согласования извещения всеми участниками, указанными в пункте 5.1, не должен превышать пяти рабочих дней с даты передачи извещения на согласование.</w:t>
      </w:r>
    </w:p>
    <w:p>
      <w:r>
        <w:t>5.5. Для извещений, связанных с рекламацией заказчика или остановкой производства, главный технолог вправе сократить срок согласования до одного рабочего дня, письменно уведомив об этом согласующих лиц.</w:t>
      </w:r>
    </w:p>
    <w:p>
      <w:pPr>
        <w:pStyle w:val="Heading2"/>
      </w:pPr>
      <w:r>
        <w:t>6. Действия с заделом и остатками</w:t>
      </w:r>
    </w:p>
    <w:p>
      <w:r>
        <w:t>6.1. Инженер-технолог, оформляющий извещение, указывает в нём решение по заделу: использовать по старой документации до израсходования, доработать по новой документации или списать в брак.</w:t>
      </w:r>
    </w:p>
    <w:p>
      <w:r>
        <w:t>6.2. Решение по заделу принимает главный технолог с учётом заключения начальника ОТК о допустимости дальнейшего использования задела.</w:t>
      </w:r>
    </w:p>
    <w:p>
      <w:r>
        <w:t>6.3. Задел, признанный не подлежащим использованию или доработке, оформляется актом о браке и списывается в порядке, установленном ОТК-РЕГЛ-004.</w:t>
      </w:r>
    </w:p>
    <w:p>
      <w:r>
        <w:t>6.4. Если изменение связано с применяемым материалом, начальник отдела снабжения проверяет остатки материала у поставщиков и на складе и указывает их в листе согласования извещения.</w:t>
      </w:r>
    </w:p>
    <w:p>
      <w:pPr>
        <w:pStyle w:val="Heading2"/>
      </w:pPr>
      <w:r>
        <w:t>7. Ввод изменения в действие</w:t>
      </w:r>
    </w:p>
    <w:p>
      <w:r>
        <w:t>7.1. Изменение вводится в действие с даты, указанной в утверждённом извещении, но не ранее даты утверждения.</w:t>
      </w:r>
    </w:p>
    <w:p>
      <w:r>
        <w:t>7.2. Инженер-технолог актуализирует технологическую карту и методику контроля, затронутые изменением, не позднее даты введения изменения в действие.</w:t>
      </w:r>
    </w:p>
    <w:p>
      <w:r>
        <w:t>7.3. Начальник цеха информирует операторов и мастеров участка об изменении под подпись в журнале ознакомления не позднее начала первой смены после введения изменения в действие.</w:t>
      </w:r>
    </w:p>
    <w:p>
      <w:r>
        <w:t>7.4. До актуализации технологической карты и ознакомления операторов запуск деталей по изменённой документации запрещается.</w:t>
      </w:r>
    </w:p>
    <w:p>
      <w:pPr>
        <w:pStyle w:val="Heading2"/>
      </w:pPr>
      <w:r>
        <w:t>8. Хранение записей</w:t>
      </w:r>
    </w:p>
    <w:p>
      <w:r>
        <w:t>8.1. Извещения об изменении и листы согласования хранятся у главного технолога не менее пяти лет с даты утверждения.</w:t>
      </w:r>
    </w:p>
    <w:p>
      <w:r>
        <w:t>8.2. Копия действующего извещения прикладывается к технологической карте детали или узла.</w:t>
      </w:r>
    </w:p>
    <w:p>
      <w:pPr>
        <w:pStyle w:val="Heading2"/>
      </w:pPr>
      <w:r>
        <w:t>9. Ответственность</w:t>
      </w:r>
    </w:p>
    <w:p>
      <w:r>
        <w:t>9.1. Ответственность за своевременное оформление извещения несёт инженер-технолог, ответственный за деталь или узел.</w:t>
      </w:r>
    </w:p>
    <w:p>
      <w:r>
        <w:t>9.2. Ответственность за обоснованность решения по заделу несёт главный технолог.</w:t>
      </w:r>
    </w:p>
    <w:p>
      <w:r>
        <w:t>9.3. Ответственность за запуск в производство деталей по неактуализированной документации после введения изменения в действие несёт начальник цеха.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