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03.08.2026</w:t>
      </w:r>
    </w:p>
    <w:p>
      <w:pPr>
        <w:pStyle w:val="Title"/>
      </w:pPr>
      <w:r>
        <w:t>Отчёт о простоях оборудования за июль 2026 г.</w:t>
      </w:r>
    </w:p>
    <w:p>
      <w:pPr>
        <w:pStyle w:val="Heading2"/>
      </w:pPr>
      <w:r>
        <w:t>1. Сводка</w:t>
      </w:r>
    </w:p>
    <w:p>
      <w:r>
        <w:t>1.1. Суммарная наработка оборудования за июль 2026 г. составила 6 633 часа, суммарный простой — 156 часов.</w:t>
      </w:r>
    </w:p>
    <w:p>
      <w:r>
        <w:t>1.2. Коэффициент технической готовности (КТГ) по предприятию за июль 2026 г. составил 97,7 %.</w:t>
      </w:r>
    </w:p>
    <w:p>
      <w:r>
        <w:t>1.3. Основной вклад в простой июля внёс аварийный отказ выпрямителя линии цинкования АГ-40 (ИНЦ-2026-05).</w:t>
      </w:r>
    </w:p>
    <w:p>
      <w:pPr>
        <w:pStyle w:val="Heading2"/>
      </w:pPr>
      <w:r>
        <w:t>2. Простои по оборудованию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Инв. №</w:t>
            </w:r>
          </w:p>
        </w:tc>
        <w:tc>
          <w:tcPr>
            <w:tcW w:type="dxa" w:w="1440"/>
          </w:tcPr>
          <w:p>
            <w:r>
              <w:t>Модель</w:t>
            </w:r>
          </w:p>
        </w:tc>
        <w:tc>
          <w:tcPr>
            <w:tcW w:type="dxa" w:w="1440"/>
          </w:tcPr>
          <w:p>
            <w:r>
              <w:t>Цех</w:t>
            </w:r>
          </w:p>
        </w:tc>
        <w:tc>
          <w:tcPr>
            <w:tcW w:type="dxa" w:w="1440"/>
          </w:tcPr>
          <w:p>
            <w:r>
              <w:t>Простой, ч</w:t>
            </w:r>
          </w:p>
        </w:tc>
        <w:tc>
          <w:tcPr>
            <w:tcW w:type="dxa" w:w="1440"/>
          </w:tcPr>
          <w:p>
            <w:r>
              <w:t>Плановый / аварийный</w:t>
            </w:r>
          </w:p>
        </w:tc>
        <w:tc>
          <w:tcPr>
            <w:tcW w:type="dxa" w:w="1440"/>
          </w:tcPr>
          <w:p>
            <w:r>
              <w:t>Причина</w:t>
            </w:r>
          </w:p>
        </w:tc>
      </w:tr>
      <w:tr>
        <w:tc>
          <w:tcPr>
            <w:tcW w:type="dxa" w:w="1440"/>
          </w:tcPr>
          <w:p>
            <w:r>
              <w:t>ОС-1041</w:t>
            </w:r>
          </w:p>
        </w:tc>
        <w:tc>
          <w:tcPr>
            <w:tcW w:type="dxa" w:w="1440"/>
          </w:tcPr>
          <w:p>
            <w:r>
              <w:t>16К20Ф3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плановый 6 / аварийный 12</w:t>
            </w:r>
          </w:p>
        </w:tc>
        <w:tc>
          <w:tcPr>
            <w:tcW w:type="dxa" w:w="1440"/>
          </w:tcPr>
          <w:p>
            <w:r>
              <w:t>ТО-1 по графику; износ задней бабки, внеплановая регулировка</w:t>
            </w:r>
          </w:p>
        </w:tc>
      </w:tr>
      <w:tr>
        <w:tc>
          <w:tcPr>
            <w:tcW w:type="dxa" w:w="1440"/>
          </w:tcPr>
          <w:p>
            <w:r>
              <w:t>ОС-1198</w:t>
            </w:r>
          </w:p>
        </w:tc>
        <w:tc>
          <w:tcPr>
            <w:tcW w:type="dxa" w:w="1440"/>
          </w:tcPr>
          <w:p>
            <w:r>
              <w:t>DMG MORI CTX 310 ecoline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ОС-1203</w:t>
            </w:r>
          </w:p>
        </w:tc>
        <w:tc>
          <w:tcPr>
            <w:tcW w:type="dxa" w:w="1440"/>
          </w:tcPr>
          <w:p>
            <w:r>
              <w:t>Haas VF-2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ОС-0987</w:t>
            </w:r>
          </w:p>
        </w:tc>
        <w:tc>
          <w:tcPr>
            <w:tcW w:type="dxa" w:w="1440"/>
          </w:tcPr>
          <w:p>
            <w:r>
              <w:t>6Р13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ОС-1250</w:t>
            </w:r>
          </w:p>
        </w:tc>
        <w:tc>
          <w:tcPr>
            <w:tcW w:type="dxa" w:w="1440"/>
          </w:tcPr>
          <w:p>
            <w:r>
              <w:t>Sinumerik 828D / СТЦ-1730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ОС-1066</w:t>
            </w:r>
          </w:p>
        </w:tc>
        <w:tc>
          <w:tcPr>
            <w:tcW w:type="dxa" w:w="1440"/>
          </w:tcPr>
          <w:p>
            <w:r>
              <w:t>3М151</w:t>
            </w:r>
          </w:p>
        </w:tc>
        <w:tc>
          <w:tcPr>
            <w:tcW w:type="dxa" w:w="1440"/>
          </w:tcPr>
          <w:p>
            <w:r>
              <w:t>Цех №2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ОС-1071</w:t>
            </w:r>
          </w:p>
        </w:tc>
        <w:tc>
          <w:tcPr>
            <w:tcW w:type="dxa" w:w="1440"/>
          </w:tcPr>
          <w:p>
            <w:r>
              <w:t>3Е711В</w:t>
            </w:r>
          </w:p>
        </w:tc>
        <w:tc>
          <w:tcPr>
            <w:tcW w:type="dxa" w:w="1440"/>
          </w:tcPr>
          <w:p>
            <w:r>
              <w:t>Цех №2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ОС-0812</w:t>
            </w:r>
          </w:p>
        </w:tc>
        <w:tc>
          <w:tcPr>
            <w:tcW w:type="dxa" w:w="1440"/>
          </w:tcPr>
          <w:p>
            <w:r>
              <w:t>СШЗ-6.6/9</w:t>
            </w:r>
          </w:p>
        </w:tc>
        <w:tc>
          <w:tcPr>
            <w:tcW w:type="dxa" w:w="1440"/>
          </w:tcPr>
          <w:p>
            <w:r>
              <w:t>Цех №3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ППР, остывание и разогрев печи</w:t>
            </w:r>
          </w:p>
        </w:tc>
      </w:tr>
      <w:tr>
        <w:tc>
          <w:tcPr>
            <w:tcW w:type="dxa" w:w="1440"/>
          </w:tcPr>
          <w:p>
            <w:r>
              <w:t>ОС-1155</w:t>
            </w:r>
          </w:p>
        </w:tc>
        <w:tc>
          <w:tcPr>
            <w:tcW w:type="dxa" w:w="1440"/>
          </w:tcPr>
          <w:p>
            <w:r>
              <w:t>ВЧГ7-60/0,066</w:t>
            </w:r>
          </w:p>
        </w:tc>
        <w:tc>
          <w:tcPr>
            <w:tcW w:type="dxa" w:w="1440"/>
          </w:tcPr>
          <w:p>
            <w:r>
              <w:t>Цех №3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ОС-0903</w:t>
            </w:r>
          </w:p>
        </w:tc>
        <w:tc>
          <w:tcPr>
            <w:tcW w:type="dxa" w:w="1440"/>
          </w:tcPr>
          <w:p>
            <w:r>
              <w:t>АГ-40</w:t>
            </w:r>
          </w:p>
        </w:tc>
        <w:tc>
          <w:tcPr>
            <w:tcW w:type="dxa" w:w="1440"/>
          </w:tcPr>
          <w:p>
            <w:r>
              <w:t>Цех №4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плановый 6 / аварийный 46</w:t>
            </w:r>
          </w:p>
        </w:tc>
        <w:tc>
          <w:tcPr>
            <w:tcW w:type="dxa" w:w="1440"/>
          </w:tcPr>
          <w:p>
            <w:r>
              <w:t>Аварийная остановка: отказ выпрямителя (ИНЦ-2026-05); плановое ТО-1</w:t>
            </w:r>
          </w:p>
        </w:tc>
      </w:tr>
      <w:tr>
        <w:tc>
          <w:tcPr>
            <w:tcW w:type="dxa" w:w="1440"/>
          </w:tcPr>
          <w:p>
            <w:r>
              <w:t>ОС-0911</w:t>
            </w:r>
          </w:p>
        </w:tc>
        <w:tc>
          <w:tcPr>
            <w:tcW w:type="dxa" w:w="1440"/>
          </w:tcPr>
          <w:p>
            <w:r>
              <w:t>АГ-25Х</w:t>
            </w:r>
          </w:p>
        </w:tc>
        <w:tc>
          <w:tcPr>
            <w:tcW w:type="dxa" w:w="1440"/>
          </w:tcPr>
          <w:p>
            <w:r>
              <w:t>Цех №4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ОС-1120</w:t>
            </w:r>
          </w:p>
        </w:tc>
        <w:tc>
          <w:tcPr>
            <w:tcW w:type="dxa" w:w="1440"/>
          </w:tcPr>
          <w:p>
            <w:r>
              <w:t>П-6330</w:t>
            </w:r>
          </w:p>
        </w:tc>
        <w:tc>
          <w:tcPr>
            <w:tcW w:type="dxa" w:w="1440"/>
          </w:tcPr>
          <w:p>
            <w:r>
              <w:t>Цех №5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ОС-1231</w:t>
            </w:r>
          </w:p>
        </w:tc>
        <w:tc>
          <w:tcPr>
            <w:tcW w:type="dxa" w:w="1440"/>
          </w:tcPr>
          <w:p>
            <w:r>
              <w:t>СИ-ГЦ-250</w:t>
            </w:r>
          </w:p>
        </w:tc>
        <w:tc>
          <w:tcPr>
            <w:tcW w:type="dxa" w:w="1440"/>
          </w:tcPr>
          <w:p>
            <w:r>
              <w:t>Цех №5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</w:tbl>
    <w:p>
      <w:pPr>
        <w:pStyle w:val="Heading2"/>
      </w:pPr>
      <w:r>
        <w:t>3. Крупнейшие простои и их причины</w:t>
      </w:r>
    </w:p>
    <w:p>
      <w:r>
        <w:t>3.1. Наибольший простой в июле — 46 часов на линии цинкования АГ-40 (ОС-0903, цех № 4) в результате аварийной остановки из-за отказа выпрямителя 09.07.2026; разбор инцидента оформлен документом ИНЦ-2026-05, заявка на ремонт — ЗРМ-2026-03.</w:t>
      </w:r>
    </w:p>
    <w:p>
      <w:r>
        <w:t>3.2. Второй по величине простой — 18 часов на станке ОС-1041 (16К20Ф3, цех № 1): помимо планового ТО-1, потребовалась внеплановая регулировка изношенной задней бабки; капитальный ремонт станка запланирован графиком ППР-2026 на более поздний срок.</w:t>
      </w:r>
    </w:p>
    <w:p>
      <w:pPr>
        <w:pStyle w:val="Heading2"/>
      </w:pPr>
      <w:r>
        <w:t>4. Влияние на выполнение сменных заданий</w:t>
      </w:r>
    </w:p>
    <w:p>
      <w:r>
        <w:t>4.1. Аварийный простой линии АГ-40 привёл к переносу сменных заданий цеха № 4 на линии цинкования на 09.07.2026 и частично на 10.07.2026; выпуск деталей, требующих операции цинкования, был восстановлен после приёмки линии из ремонта.</w:t>
      </w:r>
    </w:p>
    <w:p>
      <w:r>
        <w:t>4.2. По остальному оборудованию плановые простои в пределах графика ППР на выполнение сменных заданий существенного влияния не оказали.</w:t>
      </w:r>
    </w:p>
    <w:p>
      <w:pPr>
        <w:pStyle w:val="Heading2"/>
      </w:pPr>
      <w:r>
        <w:t>5. Мероприятия</w:t>
      </w:r>
    </w:p>
    <w:p>
      <w:r>
        <w:t>5.1. Ускорить проведение капитального ремонта станка ОС-1041 (16К20Ф3) в связи с повторяющимися внеплановыми простоями по причине износа задней бабки.</w:t>
      </w:r>
    </w:p>
    <w:p>
      <w:r>
        <w:t>5.2. По итогам разбора ИНЦ-2026-05 включить в технологический регламент линии АГ-40 (ТЕХ-РЕГЛ-001) раздел о контроле нагрева выпрямителя; редакция 2 регламента введена в действие.</w:t>
      </w:r>
    </w:p>
    <w:p>
      <w:r>
        <w:t>5.3. Рассмотреть увеличение неснижаемого запаса запасных частей для выпрямителей линий цеха №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