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14.03.2025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25.03.2025</w:t>
      </w:r>
    </w:p>
    <w:p>
      <w:pPr>
        <w:pStyle w:val="Title"/>
      </w:pPr>
      <w:r>
        <w:t>Работа на токарно-винторезном станке 16К20Ф3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токарно-винторезном станке с ЧПУ 16К20Ф3, инв. № ОС-1041, цех №1 Ковровской площадки.</w:t>
      </w:r>
    </w:p>
    <w:p>
      <w:r>
        <w:t>1.2. Инструкция обязательна для операторов, выполняющих токарную обработку валов, втулок и мелких тел вращения по технологическим картам.</w:t>
      </w:r>
    </w:p>
    <w:p>
      <w:r>
        <w:t>1.3. Станок используется для операций, не требующих многоосевой обработки; сложные детали обрабатываются на обрабатывающем центре DMG MORI CTX 310 ecoline по РИ-001.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токари-операторы станков с ЧПУ не ниже 3 разряда.</w:t>
      </w:r>
    </w:p>
    <w:p>
      <w:r>
        <w:t>2.2. Обязателен инструктаж по ИОТ-005 «Общие требования охраны труда для работников механических цехов», повторный — не реже одного раза в квартал.</w:t>
      </w:r>
    </w:p>
    <w:p>
      <w:r>
        <w:t>2.3. Первичный допуск — после стажировки не менее 5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Перед пуском проверяется исправность ограждений, патрона и упора задней бабки.</w:t>
      </w:r>
    </w:p>
    <w:p>
      <w:r>
        <w:t>3.2. Задняя бабка станка изношена; оператор обязан проверить надёжность фиксации бабки перед установкой длинных заготовок и при обнаружении люфта прекратить работу с фиксацией замечания в журнале.</w:t>
      </w:r>
    </w:p>
    <w:p>
      <w:r>
        <w:t>3.3. Проверяется уровень и концентрация рабочего раствора СОЖ ЭТ-2 в баке станка; порядок приготовления и контроля — по РИ-013.</w:t>
      </w:r>
    </w:p>
    <w:p>
      <w:r>
        <w:t>3.4. Проверяется наличие и состояние режущего и мерительного инструмента по карте наладки.</w:t>
      </w:r>
    </w:p>
    <w:p>
      <w:pPr>
        <w:pStyle w:val="Heading2"/>
      </w:pPr>
      <w:r>
        <w:t>4. Порядок выполнения работы</w:t>
      </w:r>
    </w:p>
    <w:p>
      <w:r>
        <w:t>4.1. Оператор устанавливает заготовку в патрон (например, круг ø50 стали 45 ГОСТ 1050-2013 для вала натяжной станции 45.67.94 или отливку втулки скольжения 88.14.40 из бронзы БрАЖ9-4) и выверяет биение.</w:t>
      </w:r>
    </w:p>
    <w:p>
      <w:r>
        <w:t>4.2. Оператор набирает или вызывает управляющую программу операции по технологической карте (например, ТК-45.67.94, ред. 1) и проверяет соответствие номера программы обозначению детали.</w:t>
      </w:r>
    </w:p>
    <w:p>
      <w:r>
        <w:t>4.3. Черновое точение выполняется с последующим чистовым проходом резцом с пластиной CNMG 120408, с охлаждением СОЖ ЭТ-2 концентрацией 5…7 %.</w:t>
      </w:r>
    </w:p>
    <w:p>
      <w:r>
        <w:t>4.4. После первой детали партии оператор выполняет самоконтроль по разделу 5, далее контролирует размеры не реже чем каждую пятую деталь.</w:t>
      </w:r>
    </w:p>
    <w:p>
      <w:r>
        <w:t>4.5. Годные детали укладываются в тару с ярлыком партии и передаются на следующую операцию маршрута.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Контроль диаметральных размеров — штангенциркулем и микрометром по полю допуска, указанному в карте наладки.</w:t>
      </w:r>
    </w:p>
    <w:p>
      <w:r>
        <w:t>5.2. Периодичность самоконтроля — первая, последняя и каждая пятая деталь партии.</w:t>
      </w:r>
    </w:p>
    <w:p>
      <w:r>
        <w:t>5.3. При выходе размера за допуск обработка партии приостанавливается, детали направляются контролёру ОТК для контроля по методике ОТК-МИ-001.</w:t>
      </w:r>
    </w:p>
    <w:p>
      <w:r>
        <w:t>5.4. Результаты самоконтроля заносятся в журнал операционного контроля цеха №1.</w:t>
      </w:r>
    </w:p>
    <w:p>
      <w:pPr>
        <w:pStyle w:val="Heading2"/>
      </w:pPr>
      <w:r>
        <w:t>6. Действия при отклонениях и отказах</w:t>
      </w:r>
    </w:p>
    <w:p>
      <w:r>
        <w:t>6.1. При посторонних стуках, люфте задней бабки сверх нормы или отказе привода оператор останавливает станок и не возобновляет работу до устранения причины.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станка в ремонт и допуска после ремонта — по ТОиР-РЕГЛ-002.</w:t>
      </w:r>
    </w:p>
    <w:p>
      <w:r>
        <w:t>6.4. Детали, обработанные непосредственно перед отказом, откладываются отдельно до решения контролёра ОТК.</w:t>
      </w:r>
    </w:p>
    <w:p>
      <w:pPr>
        <w:pStyle w:val="Heading2"/>
      </w:pPr>
      <w:r>
        <w:t>7. Окончание смены, уборка, сдача</w:t>
      </w:r>
    </w:p>
    <w:p>
      <w:r>
        <w:t>7.1. По окончании смены станок останавливается и приводится в безопасное положение.</w:t>
      </w:r>
    </w:p>
    <w:p>
      <w:r>
        <w:t>7.2. Рабочая зона очищается от стружки, направляющие протираются от СОЖ.</w:t>
      </w:r>
    </w:p>
    <w:p>
      <w:r>
        <w:t>7.3. В журнале приёма-сдачи смены фиксируются количество обработанных деталей и замечания по состоянию станка, включая состояние задней бабки.</w:t>
      </w:r>
    </w:p>
    <w:p>
      <w:r>
        <w:t>7.4. Смена сдаётся мастеру участка или оператору следующей смены.</w:t>
      </w:r>
    </w:p>
    <w:p>
      <w:pPr>
        <w:pStyle w:val="Heading2"/>
      </w:pPr>
      <w:r>
        <w:t>8. Запрещается</w:t>
      </w:r>
    </w:p>
    <w:p>
      <w:r>
        <w:t>8.1. Запрещается устанавливать заготовки длиной, требующей поджатия задней бабкой, без предварительной проверки её фиксации.</w:t>
      </w:r>
    </w:p>
    <w:p>
      <w:r>
        <w:t>8.2. Запрещается работать со снятыми ограждениями патрона.</w:t>
      </w:r>
    </w:p>
    <w:p>
      <w:r>
        <w:t>8.3. Запрещается применять инструмент, не предусмотренный картой наладки.</w:t>
      </w:r>
    </w:p>
    <w:p>
      <w:r>
        <w:t>8.4. Запрещается оставлять станок без надзора во время цикла обработки.</w:t>
      </w:r>
    </w:p>
    <w:p>
      <w:r>
        <w:t>8.5. Запрещается устранять неисправности станка самостоятельно, кроме случаев, предусмотренных инструкцией по эксплуатации.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