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Главный технолог</w:t>
      </w:r>
    </w:p>
    <w:p>
      <w:r>
        <w:rPr>
          <w:i/>
        </w:rPr>
        <w:t>Дата утверждения: 04.08.2026</w:t>
      </w:r>
    </w:p>
    <w:p>
      <w:r>
        <w:rPr>
          <w:i/>
        </w:rPr>
        <w:t>Редакция: ред. 2</w:t>
      </w:r>
    </w:p>
    <w:p>
      <w:r>
        <w:rPr>
          <w:i/>
        </w:rPr>
        <w:t>Вводится в действие с 11.08.2026</w:t>
      </w:r>
    </w:p>
    <w:p>
      <w:pPr>
        <w:pStyle w:val="Title"/>
      </w:pPr>
      <w:r>
        <w:t>Технологический регламент линии цинкования АГ-40</w:t>
      </w:r>
    </w:p>
    <w:p>
      <w:pPr>
        <w:pStyle w:val="Heading2"/>
      </w:pPr>
      <w:r>
        <w:t>1. Назначение и основание</w:t>
      </w:r>
    </w:p>
    <w:p>
      <w:r>
        <w:t>1.1. Настоящий регламент устанавливает порядок и параметры технологического процесса цинкования деталей на линии АГ-40 (инвентарный номер ОС-0903, паспорт ПС-ОС-0903, цех № 4, Пермская площадка).</w:t>
      </w:r>
    </w:p>
    <w:p>
      <w:r>
        <w:t>1.2. Действующая редакция 2 введена взамен предыдущей редакции по итогам разбора инцидента ИНЦ-2026-05 (отказ выпрямителя линии АГ-40, 09.07.2026): в регламент включён раздел 8 о контроле нагрева выпрямителя, отсутствовавший в предыдущей редакции.</w:t>
      </w:r>
    </w:p>
    <w:p>
      <w:r>
        <w:t>1.3. Регламент обязателен для операторов линии АГ-40, мастера участка цеха № 4 и персонала ОГМ, обслуживающего линию.</w:t>
      </w:r>
    </w:p>
    <w:p>
      <w:r>
        <w:t>1.4. Линия АГ-40 относится к опасному производственному объекту; общие требования охраны труда при работе на гальваническом участке установлены ИОТ-021.</w:t>
      </w:r>
    </w:p>
    <w:p>
      <w:r>
        <w:t>1.5. На линии АГ-40 обрабатываются детали, для которых операция цинкования предусмотрена маршрутом технологической карты, например плита опорная натяжной станции (ТК-61.05.24, ред. 1) и гайка круглая шлицевая М64×2 (ТК-88.14.48, ред. 1); полный перечень деталей и требуемый класс покрытия для каждой из них устанавливается соответствующей технологической картой.</w:t>
      </w:r>
    </w:p>
    <w:p>
      <w:r>
        <w:t>1.6. Техническое обслуживание и ремонт линии АГ-40 проводятся в порядке, установленном ТОИР-РЕГЛ-001, по графику ППР-2026 с периодичностью 30 суток.</w:t>
      </w:r>
    </w:p>
    <w:p>
      <w:pPr>
        <w:pStyle w:val="Heading2"/>
      </w:pPr>
      <w:r>
        <w:t>2. Состав и параметры электролита</w:t>
      </w:r>
    </w:p>
    <w:p>
      <w:r>
        <w:t>2.1. Цинкование производится в хлораммонийном электролите со следующим составом: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Компонент</w:t>
            </w:r>
          </w:p>
        </w:tc>
        <w:tc>
          <w:tcPr>
            <w:tcW w:type="dxa" w:w="4320"/>
          </w:tcPr>
          <w:p>
            <w:r>
              <w:t>Концентрация</w:t>
            </w:r>
          </w:p>
        </w:tc>
      </w:tr>
      <w:tr>
        <w:tc>
          <w:tcPr>
            <w:tcW w:type="dxa" w:w="4320"/>
          </w:tcPr>
          <w:p>
            <w:r>
              <w:t>Хлорид цинка</w:t>
            </w:r>
          </w:p>
        </w:tc>
        <w:tc>
          <w:tcPr>
            <w:tcW w:type="dxa" w:w="4320"/>
          </w:tcPr>
          <w:p>
            <w:r>
              <w:t>60–80 г/л</w:t>
            </w:r>
          </w:p>
        </w:tc>
      </w:tr>
      <w:tr>
        <w:tc>
          <w:tcPr>
            <w:tcW w:type="dxa" w:w="4320"/>
          </w:tcPr>
          <w:p>
            <w:r>
              <w:t>Хлорид калия</w:t>
            </w:r>
          </w:p>
        </w:tc>
        <w:tc>
          <w:tcPr>
            <w:tcW w:type="dxa" w:w="4320"/>
          </w:tcPr>
          <w:p>
            <w:r>
              <w:t>180–220 г/л</w:t>
            </w:r>
          </w:p>
        </w:tc>
      </w:tr>
      <w:tr>
        <w:tc>
          <w:tcPr>
            <w:tcW w:type="dxa" w:w="4320"/>
          </w:tcPr>
          <w:p>
            <w:r>
              <w:t>Борная кислота</w:t>
            </w:r>
          </w:p>
        </w:tc>
        <w:tc>
          <w:tcPr>
            <w:tcW w:type="dxa" w:w="4320"/>
          </w:tcPr>
          <w:p>
            <w:r>
              <w:t>25–30 г/л</w:t>
            </w:r>
          </w:p>
        </w:tc>
      </w:tr>
      <w:tr>
        <w:tc>
          <w:tcPr>
            <w:tcW w:type="dxa" w:w="4320"/>
          </w:tcPr>
          <w:p>
            <w:r>
              <w:t>Блескообразующая добавка</w:t>
            </w:r>
          </w:p>
        </w:tc>
        <w:tc>
          <w:tcPr>
            <w:tcW w:type="dxa" w:w="4320"/>
          </w:tcPr>
          <w:p>
            <w:r>
              <w:t>15–25 мл/л</w:t>
            </w:r>
          </w:p>
        </w:tc>
      </w:tr>
    </w:tbl>
    <w:p>
      <w:r>
        <w:t>2.2. Водородный показатель электролита поддерживается в диапазоне 5,0–5,6. Контроль pH проводит оператор линии не реже одного раза в смену.</w:t>
      </w:r>
    </w:p>
    <w:p>
      <w:r>
        <w:t>2.3. Корректировку состава электролита по результатам контроля проводит оператор линии по указанию мастера участка; расходные материалы (анод цинковый Ц1) выдаются по нормам расхода НОРМ-РАСХ-2026.</w:t>
      </w:r>
    </w:p>
    <w:p>
      <w:pPr>
        <w:pStyle w:val="Heading2"/>
      </w:pPr>
      <w:r>
        <w:t>3. Технологический режим нанесения покрытия</w:t>
      </w:r>
    </w:p>
    <w:p>
      <w:r>
        <w:t>3.1. Плотность тока на линии поддерживается в диапазоне 1,0–3,0 А/дм² в зависимости от требуемой толщины покрытия.</w:t>
      </w:r>
    </w:p>
    <w:p>
      <w:r>
        <w:t>3.2. Температура электролита в ванне цинкования поддерживается в диапазоне 18–28 °C; при превышении 28 °C оператор обязан снизить плотность тока или временно остановить подачу деталей.</w:t>
      </w:r>
    </w:p>
    <w:p>
      <w:r>
        <w:t>3.3. Время выдержки деталей в ванне цинкования составляет 15–20 минут для покрытия класса Ц6 и 25–30 минут для покрытия класса Ц9 по ГОСТ 9.306-85.</w:t>
      </w:r>
    </w:p>
    <w:p>
      <w:r>
        <w:t>3.4. Скорость загрузки и выгрузки деталей устанавливается программой автооператора линии и не подлежит изменению персоналом без согласования с мастером участка.</w:t>
      </w:r>
    </w:p>
    <w:p>
      <w:pPr>
        <w:pStyle w:val="Heading2"/>
      </w:pPr>
      <w:r>
        <w:t>4. Подготовка поверхности</w:t>
      </w:r>
    </w:p>
    <w:p>
      <w:r>
        <w:t>4.1. Перед цинкованием детали проходят обезжиривание в щелочном растворе и последующую промывку в проточной воде.</w:t>
      </w:r>
    </w:p>
    <w:p>
      <w:r>
        <w:t>4.2. Детали с окалиной или коррозией после хранения подвергаются травлению перед обезжириванием; решение о необходимости травления принимает оператор линии по внешнему виду партии.</w:t>
      </w:r>
    </w:p>
    <w:p>
      <w:r>
        <w:t>4.3. Не допускается загрузка в ванну цинкования деталей с остатками масла, эмульсии или консервационного покрытия.</w:t>
      </w:r>
    </w:p>
    <w:p>
      <w:pPr>
        <w:pStyle w:val="Heading2"/>
      </w:pPr>
      <w:r>
        <w:t>5. Промывка деталей</w:t>
      </w:r>
    </w:p>
    <w:p>
      <w:r>
        <w:t>5.1. После ванны цинкования детали последовательно промываются в двух проточных ваннах холодной воды для удаления остатков электролита.</w:t>
      </w:r>
    </w:p>
    <w:p>
      <w:r>
        <w:t>5.2. Качество промывки контролируется визуально оператором линии; при обнаружении налёта соли деталь возвращается на повторную промывку.</w:t>
      </w:r>
    </w:p>
    <w:p>
      <w:pPr>
        <w:pStyle w:val="Heading2"/>
      </w:pPr>
      <w:r>
        <w:t>6. Пассивация и сушка</w:t>
      </w:r>
    </w:p>
    <w:p>
      <w:r>
        <w:t>6.1. После промывки детали пассивируются в растворе хроматирования для получения покрытия класса Ц6.хр или Ц9.хр по ГОСТ 9.306-85 в соответствии с технологической картой детали.</w:t>
      </w:r>
    </w:p>
    <w:p>
      <w:r>
        <w:t>6.2. Время выдержки в растворе пассивации составляет 20–40 секунд в зависимости от требуемого цвета плёнки.</w:t>
      </w:r>
    </w:p>
    <w:p>
      <w:r>
        <w:t>6.3. После пассивации детали сушатся горячим воздухом при температуре не выше 60 °C для предотвращения растрескивания пассивной плёнки.</w:t>
      </w:r>
    </w:p>
    <w:p>
      <w:pPr>
        <w:pStyle w:val="Heading2"/>
      </w:pPr>
      <w:r>
        <w:t>7. Контроль толщины покрытия</w:t>
      </w:r>
    </w:p>
    <w:p>
      <w:r>
        <w:t>7.1. Контроль толщины цинкового покрытия проводит контролёр ОТК по методике ОТК-МИ-005 на выборке не менее 5 % партии, но не менее трёх деталей.</w:t>
      </w:r>
    </w:p>
    <w:p>
      <w:r>
        <w:t>7.2. При обнаружении несоответствия толщины покрытия партия направляется на повторное цинкование или оформляется акт о браке в порядке, установленном ОТК-РЕГЛ-003.</w:t>
      </w:r>
    </w:p>
    <w:p>
      <w:pPr>
        <w:pStyle w:val="Heading2"/>
      </w:pPr>
      <w:r>
        <w:t>8. Работа выпрямителя и контроль его нагрева</w:t>
      </w:r>
    </w:p>
    <w:p>
      <w:r>
        <w:t>8.1. Выпрямитель линии АГ-40 подлежит визуальному осмотру оператором линии в начале каждой смены: проверяется отсутствие посторонних шумов, запаха гари и следов перегрева на корпусе.</w:t>
      </w:r>
    </w:p>
    <w:p>
      <w:r>
        <w:t>8.2. В течение смены оператор линии контролирует температуру корпуса выпрямителя не реже одного раза в 2 часа и фиксирует показания в журнале контроля линии.</w:t>
      </w:r>
    </w:p>
    <w:p>
      <w:r>
        <w:t>8.3. При температуре корпуса выпрямителя выше 70 °C оператор обязан снизить нагрузку линии и сообщить мастеру участка; при температуре выше 85 °C или появлении запаха гари линия немедленно останавливается в порядке раздела 9.</w:t>
      </w:r>
    </w:p>
    <w:p>
      <w:r>
        <w:t>8.4. Плановое техническое обслуживание выпрямителя выполняется ОГМ в сроки, установленные графиком ППР-2026, но не реже одного раза в 30 суток.</w:t>
      </w:r>
    </w:p>
    <w:p>
      <w:pPr>
        <w:pStyle w:val="Heading2"/>
      </w:pPr>
      <w:r>
        <w:t>9. Нейтрализация стоков</w:t>
      </w:r>
    </w:p>
    <w:p>
      <w:r>
        <w:t>9.1. Отработанные растворы и промывные воды линии АГ-40 направляются на участок нейтрализации стоков цеха № 4 и не подлежат сливу в общую канализацию без нейтрализации.</w:t>
      </w:r>
    </w:p>
    <w:p>
      <w:r>
        <w:t>9.2. Ангидрид хромовый технический, применяемый в растворе пассивации, относится к веществам 1 класса опасности; его выдача и учёт ведутся поштучно, доступ — по наряду.</w:t>
      </w:r>
    </w:p>
    <w:p>
      <w:pPr>
        <w:pStyle w:val="Heading2"/>
      </w:pPr>
      <w:r>
        <w:t>10. Аварийная остановка линии</w:t>
      </w:r>
    </w:p>
    <w:p>
      <w:r>
        <w:t>10.1. Основаниями для немедленной аварийной остановки линии АГ-40 являются: перегрев выпрямителя сверх значений, указанных в п. 8.3, утечка электролита за пределы ванны, отказ системы вентиляции участка.</w:t>
      </w:r>
    </w:p>
    <w:p>
      <w:r>
        <w:t>10.2. Аварийную остановку производит оператор линии самостоятельно, без согласования, с немедленным уведомлением мастера участка и ОГМ.</w:t>
      </w:r>
    </w:p>
    <w:p>
      <w:r>
        <w:t>10.3. Порядок вывода линии в ремонт после аварийной остановки и допуска к эксплуатации после ремонта устанавливается ТОИР-РЕГЛ-002.</w:t>
      </w:r>
    </w:p>
    <w:p>
      <w:pPr>
        <w:pStyle w:val="Heading2"/>
      </w:pPr>
      <w:r>
        <w:t>11. Требования охраны труда</w:t>
      </w:r>
    </w:p>
    <w:p>
      <w:r>
        <w:t>11.1. Персонал линии АГ-40 работает в средствах индивидуальной защиты, предусмотренных ИОТ-021, и проходит инструктаж по охране труда при работе на гальваническом участке не реже одного раза в 6 месяцев.</w:t>
      </w:r>
    </w:p>
    <w:p>
      <w:r>
        <w:t>11.2. Работы с ангидридом хромовым техническим и корректировка электролита выполняются только персоналом, прошедшим обучение по обращению с веществами 1 класса опасности.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