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20.02.2026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01.03.2026</w:t>
      </w:r>
    </w:p>
    <w:p>
      <w:pPr>
        <w:pStyle w:val="Title"/>
      </w:pPr>
      <w:r>
        <w:t>Порядок вывода оборудования в ремонт и допуска к работе после ремонта</w:t>
      </w:r>
    </w:p>
    <w:p>
      <w:pPr>
        <w:pStyle w:val="Heading2"/>
      </w:pPr>
      <w:r>
        <w:t>1. Общие положения</w:t>
      </w:r>
    </w:p>
    <w:p>
      <w:r>
        <w:t>1.1. Настоящий порядок устанавливает последовательность действий при выводе оборудования в ремонт любого вида, кроме ежесменного обслуживания, и при допуске оборудования к эксплуатации после его окончания.</w:t>
      </w:r>
    </w:p>
    <w:p>
      <w:r>
        <w:t>1.2. Порядок обязателен для отдела главного механика (далее — ОГМ), начальников цехов, мастеров участков, персонала, эксплуатирующего оборудование, и подрядных организаций, выполняющих ремонтные работы.</w:t>
      </w:r>
    </w:p>
    <w:p>
      <w:r>
        <w:t>1.3. Виды технического обслуживания и ремонта, объём и периодичность их проведения устанавливаются ТОИР-РЕГЛ-001.</w:t>
      </w:r>
    </w:p>
    <w:p>
      <w:pPr>
        <w:pStyle w:val="Heading2"/>
      </w:pPr>
      <w:r>
        <w:t>2. Заявка на ремонт оборудования</w:t>
      </w:r>
    </w:p>
    <w:p>
      <w:r>
        <w:t>2.1. Основанием для вывода оборудования в ремонт (плановый или неплановый) является заявка на ремонт по форме приложения, оформляемая мастером участка или начальником цеха в системе 1С:ERP.</w:t>
      </w:r>
    </w:p>
    <w:p>
      <w:r>
        <w:t>2.2. Заявке присваивается номер по схеме ЗРМ-{год}-{порядковый номер}; заявка содержит инвентарный номер оборудования, вид ремонта, желаемую дату остановки и краткое описание неисправности или причины планового вывода.</w:t>
      </w:r>
    </w:p>
    <w:p>
      <w:r>
        <w:t>2.3. Для планового ремонта, предусмотренного графиком ППР, заявка подаётся не позднее чем за 5 рабочих дней до даты, указанной в графике. Для аварийного ремонта заявка оформляется в момент отказа оборудования в порядке, установленном ТОИР-РЕГЛ-001, разделом 6.</w:t>
      </w:r>
    </w:p>
    <w:p>
      <w:r>
        <w:t>2.4. Заявку рассматривает главный механик и в течение одного рабочего дня назначает ответственного исполнителя от ОГМ.</w:t>
      </w:r>
    </w:p>
    <w:p>
      <w:pPr>
        <w:pStyle w:val="Heading2"/>
      </w:pPr>
      <w:r>
        <w:t>3. Согласование окна остановки оборудования</w:t>
      </w:r>
    </w:p>
    <w:p>
      <w:r>
        <w:t>3.1. Дату и продолжительность остановки оборудования для планового ремонта согласовывает начальник цеха, эксплуатирующего оборудование, совместно с производственно-диспетчерским отделом (далее — ПДО), отвечающим за загрузку оборудования сменными заданиями.</w:t>
      </w:r>
    </w:p>
    <w:p>
      <w:r>
        <w:t>3.2. Согласование оформляется отметкой начальника цеха и представителя ПДО непосредственно на заявке на ремонт не позднее двух рабочих дней с даты её подачи.</w:t>
      </w:r>
    </w:p>
    <w:p>
      <w:r>
        <w:t>3.3. Для оборудования непрерывного цикла (печи и установки ТВЧ цеха № 3) и линий гальванического покрытия (цех № 4) согласование окна остановки дополнительно требует уведомления главного механика не менее чем за 3 рабочих дня до плановой даты.</w:t>
      </w:r>
    </w:p>
    <w:p>
      <w:r>
        <w:t>3.4. Изменение согласованного окна остановки допускается только по правилам переноса планового ремонта, установленным ТОИР-РЕГЛ-001, разделом 5.</w:t>
      </w:r>
    </w:p>
    <w:p>
      <w:pPr>
        <w:pStyle w:val="Heading2"/>
      </w:pPr>
      <w:r>
        <w:t>4. Отключение оборудования и вывешивание предупреждающих табличек</w:t>
      </w:r>
    </w:p>
    <w:p>
      <w:r>
        <w:t>4.1. Перед началом ремонтных работ исполнитель ОГМ отключает оборудование от источников энергии (электропитания, сжатого воздуха, гидравлики) и блокирует органы управления в отключённом положении.</w:t>
      </w:r>
    </w:p>
    <w:p>
      <w:r>
        <w:t>4.2. На пульте управления и на вводном устройстве вывешивается табличка «Не включать! Работают люди», которую разрешается снимать только лицу, её установившему, или лицу, принявшему у него смену.</w:t>
      </w:r>
    </w:p>
    <w:p>
      <w:r>
        <w:t>4.3. Для оборудования, работающего с опасными веществами (линии гальванического покрытия), дополнительно перекрываются подводящие трубопроводы и вывешивается табличка с указанием характера опасности.</w:t>
      </w:r>
    </w:p>
    <w:p>
      <w:r>
        <w:t>4.4. Запрещается подавать энергию на оборудование, на котором вывешена предупреждающая табличка, до её снятия лицом, ответственным за её установку.</w:t>
      </w:r>
    </w:p>
    <w:p>
      <w:pPr>
        <w:pStyle w:val="Heading2"/>
      </w:pPr>
      <w:r>
        <w:t>5. Наряд-допуск на ремонтные работы</w:t>
      </w:r>
    </w:p>
    <w:p>
      <w:r>
        <w:t>5.1. Ремонтные работы на оборудовании, относящемся к опасным производственным объектам, и работы, связанные с разборкой электрооборудования под напряжением, выполняются по наряду-допуску.</w:t>
      </w:r>
    </w:p>
    <w:p>
      <w:r>
        <w:t>5.2. Наряд-допуск оформляет ответственный исполнитель ОГМ; наряд-допуск подписывают начальник цеха и инженер по охране труда до начала работ.</w:t>
      </w:r>
    </w:p>
    <w:p>
      <w:r>
        <w:t>5.3. В наряде-допуске указываются состав бригады, содержание и место работы, необходимые меры безопасности и время начала и окончания работ.</w:t>
      </w:r>
    </w:p>
    <w:p>
      <w:r>
        <w:t>5.4. Текущий ремонт оборудования, не отнесённого к опасным производственным объектам, допускается выполнять по заявке на ремонт без оформления отдельного наряда-допуска.</w:t>
      </w:r>
    </w:p>
    <w:p>
      <w:pPr>
        <w:pStyle w:val="Heading2"/>
      </w:pPr>
      <w:r>
        <w:t>6. Испытания и приёмка после ремонта</w:t>
      </w:r>
    </w:p>
    <w:p>
      <w:r>
        <w:t>6.1. По окончании ремонтных работ ответственный исполнитель ОГМ снимает предупреждающие таблички и организует испытания оборудования в объёме, установленном ТОИР-РЕГЛ-001, разделом 7, в зависимости от вида выполненного ремонта.</w:t>
      </w:r>
    </w:p>
    <w:p>
      <w:r>
        <w:t>6.2. Испытания проводятся в присутствии мастера участка; для капитального ремонта — также в присутствии начальника цеха и представителя ОТК.</w:t>
      </w:r>
    </w:p>
    <w:p>
      <w:r>
        <w:t>6.3. Результаты испытаний и приёмки оформляются актом приёмки из ремонта, который подписывают все участники испытаний в день их окончания.</w:t>
      </w:r>
    </w:p>
    <w:p>
      <w:pPr>
        <w:pStyle w:val="Heading2"/>
      </w:pPr>
      <w:r>
        <w:t>7. Допуск к эксплуатации после ремонта</w:t>
      </w:r>
    </w:p>
    <w:p>
      <w:r>
        <w:t>7.1. Отметка о проведённом ремонте вносится в паспорт станка (ПС-ОС-&lt;инвентарный номер&gt;) с указанием вида ремонта, даты и номера акта приёмки не позднее одного рабочего дня после подписания акта.</w:t>
      </w:r>
    </w:p>
    <w:p>
      <w:r>
        <w:t>7.2. Мастер участка допускает оборудование к работе только после того, как в паспорте станка появилась отметка, предусмотренная п. 7.1, и заявка на ремонт закрыта в системе 1С:ERP.</w:t>
      </w:r>
    </w:p>
    <w:p>
      <w:r>
        <w:t>7.3. Запрещается эксплуатация оборудования после ремонта без записи в паспорте станка о его приёмке; персональную ответственность за нарушение этого запрета несёт начальник цеха, допустивший эксплуатацию.</w:t>
      </w:r>
    </w:p>
    <w:p>
      <w:r>
        <w:t>7.4. Копия акта приёмки из ремонта передаётся в ОГМ для хранения в порядке, установленном ТОИР-РЕГЛ-001, разделом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