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цеха</w:t>
      </w:r>
    </w:p>
    <w:p>
      <w:r>
        <w:rPr>
          <w:i/>
        </w:rPr>
        <w:t>Дата утверждения: 08.06.2026</w:t>
      </w:r>
    </w:p>
    <w:p>
      <w:pPr>
        <w:pStyle w:val="Title"/>
      </w:pPr>
      <w:r>
        <w:t>Заявка на ремонт: плановая замена уплотнений гидроцилиндра пресса П-6330</w:t>
      </w:r>
    </w:p>
    <w:p>
      <w:pPr>
        <w:pStyle w:val="Heading2"/>
      </w:pPr>
      <w:r>
        <w:t>1. Оборудование</w:t>
      </w:r>
    </w:p>
    <w:p>
      <w:r>
        <w:t>1.1. Пресс гидравлический для запрессовки подшипников П-6330, инвентарный номер ОС-1120, цех №5, сборочный, Тольяттинская площадка.</w:t>
      </w:r>
    </w:p>
    <w:p>
      <w:pPr>
        <w:pStyle w:val="Heading2"/>
      </w:pPr>
      <w:r>
        <w:t>2. Описание неисправности</w:t>
      </w:r>
    </w:p>
    <w:p>
      <w:r>
        <w:t>2.1. При плановом осмотре 08.06.2026 выявлена течь масла по уплотнению штока рабочего гидроцилиндра пресса, усилие запрессовки нестабильно на последних 20 циклах.</w:t>
      </w:r>
    </w:p>
    <w:p>
      <w:pPr>
        <w:pStyle w:val="Heading2"/>
      </w:pPr>
      <w:r>
        <w:t>3. Влияние на производство</w:t>
      </w:r>
    </w:p>
    <w:p>
      <w:r>
        <w:t>3.1. До ремонта запрещена запрессовка подшипников по узлам 88.14.53 «Узел редуктора Р-160 в сборе» и 88.14.54 «Гидроцилиндр ГЦ-100/56 в сборе»: нестабильное усилие не гарантирует посадку по чертежу.</w:t>
      </w:r>
    </w:p>
    <w:p>
      <w:pPr>
        <w:pStyle w:val="Heading2"/>
      </w:pPr>
      <w:r>
        <w:t>4. Требуемые работы и запасные части</w:t>
      </w:r>
    </w:p>
    <w:p>
      <w:r>
        <w:t>4.1. Замена уплотнений штока и манжет гидроцилиндра, промывка гидросистемы, проверка усилия запрессовки по контрольному образцу.</w:t>
      </w:r>
    </w:p>
    <w:p>
      <w:r>
        <w:t>4.2. Требуется ремонтный комплект уплотнений гидроцилиндра пресса, заказ через отдел снабжения.</w:t>
      </w:r>
    </w:p>
    <w:p>
      <w:pPr>
        <w:pStyle w:val="Heading2"/>
      </w:pPr>
      <w:r>
        <w:t>5. Предлагаемое окно остановки</w:t>
      </w:r>
    </w:p>
    <w:p>
      <w:r>
        <w:t>5.1. 22.06.2026–23.06.2026, два рабочих дня, в соответствии с графиком ППР PPR-2026.</w:t>
      </w:r>
    </w:p>
    <w:p>
      <w:pPr>
        <w:pStyle w:val="Heading2"/>
      </w:pPr>
      <w:r>
        <w:t>6.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Дата</w:t>
            </w:r>
          </w:p>
        </w:tc>
      </w:tr>
      <w:tr>
        <w:tc>
          <w:tcPr>
            <w:tcW w:type="dxa" w:w="4320"/>
          </w:tcPr>
          <w:p>
            <w:r>
              <w:t>Мастер участка</w:t>
            </w:r>
          </w:p>
        </w:tc>
        <w:tc>
          <w:tcPr>
            <w:tcW w:type="dxa" w:w="4320"/>
          </w:tcPr>
          <w:p>
            <w:r>
              <w:t>08.06.2026</w:t>
            </w:r>
          </w:p>
        </w:tc>
      </w:tr>
      <w:tr>
        <w:tc>
          <w:tcPr>
            <w:tcW w:type="dxa" w:w="4320"/>
          </w:tcPr>
          <w:p>
            <w:r>
              <w:t>Начальник цеха</w:t>
            </w:r>
          </w:p>
        </w:tc>
        <w:tc>
          <w:tcPr>
            <w:tcW w:type="dxa" w:w="4320"/>
          </w:tcPr>
          <w:p>
            <w:r>
              <w:t>08.06.2026</w:t>
            </w:r>
          </w:p>
        </w:tc>
      </w:tr>
      <w:tr>
        <w:tc>
          <w:tcPr>
            <w:tcW w:type="dxa" w:w="4320"/>
          </w:tcPr>
          <w:p>
            <w:r>
              <w:t>Главный механик</w:t>
            </w:r>
          </w:p>
        </w:tc>
        <w:tc>
          <w:tcPr>
            <w:tcW w:type="dxa" w:w="4320"/>
          </w:tcPr>
          <w:p>
            <w:r>
              <w:t>10.06.2026</w:t>
            </w:r>
          </w:p>
        </w:tc>
      </w:tr>
    </w:tbl>
    <w:p>
      <w:r>
        <w:t>Заявка оформлена по ТОиР-РЕГЛ-002.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