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Проект договора поставки продукции № РМ-2027/01 на 2027 год</w:t>
      </w:r>
    </w:p>
    <w:p>
      <w:r>
        <w:t>Проект договора на 2027 год, подготовленный Покупателем на типовой форме Поставщика, взамен договора поставки № РМ-2025/01 от 20.01.2025, срок действия которого истекает 31.12.2026.</w:t>
      </w:r>
    </w:p>
    <w:p>
      <w:r>
        <w:t>г. Тольятти</w:t>
      </w:r>
    </w:p>
    <w:p>
      <w:r>
        <w:t>Общество с ограниченной ответственностью «Родос-Деталь-Сборка», именуемое в дальнейшем «Поставщик», в лице генерального директора, действующего на основании Устава, с одной стороны, и акционерное общество «Редмаш», именуемое в дальнейшем «Покупатель», в лице уполномоченного представителя, действующего на основании Устава, с другой стороны, именуемые совместно «Стороны», заключили настоящий договор о нижеследующем.</w:t>
      </w:r>
    </w:p>
    <w:p>
      <w:pPr>
        <w:pStyle w:val="Heading2"/>
      </w:pPr>
      <w:r>
        <w:t>1. Предмет договора</w:t>
      </w:r>
    </w:p>
    <w:p>
      <w:r>
        <w:t>1.1. Поставщик обязуется передать в собственность Покупателя продукцию согласно спецификациям, являющимся неотъемлемой частью настоящего договора, а Покупатель обязуется принять и оплатить продукцию на условиях настоящего договора.</w:t>
      </w:r>
    </w:p>
    <w:p>
      <w:r>
        <w:t>1.2. Наименование, артикулы, количество и цена продукции по каждой партии указываются в спецификации, подписываемой сторонами до начала изготовления партии.</w:t>
      </w:r>
    </w:p>
    <w:p>
      <w:r>
        <w:t>1.3. Технические требования к продукции устанавливаются техническими условиями на соответствующее изделие либо чертежом, согласованным сторонами.</w:t>
      </w:r>
    </w:p>
    <w:p>
      <w:r>
        <w:t>1.4. Наименование, обозначение и технические характеристики продукции в спецификации должны соответствовать действующей технической документации Поставщика на дату подписания спецификации.</w:t>
      </w:r>
    </w:p>
    <w:p>
      <w:r>
        <w:t>1.5. Действующими спецификациями на дату заключения договора являются: приложение СП-01 «Валы Р-160» (детали 45.67.89, 45.67.90), приложение СП-02 «Валы Р-200» (детали 45.67.91, 45.67.92), приложение СП-03 «Шестерни m=4» (детали 52.31.10, 52.31.11), приложение СП-04 «Корпусные детали Р-160 и Р-200» (детали 61.05.20, 61.05.21, 61.05.22).</w:t>
      </w:r>
    </w:p>
    <w:p>
      <w:pPr>
        <w:pStyle w:val="Heading2"/>
      </w:pPr>
      <w:r>
        <w:t>2. Цена и порядок расчётов</w:t>
      </w:r>
    </w:p>
    <w:p>
      <w:r>
        <w:t>2.1. Цена продукции определяется действующим прайс-листом Поставщика на дату подписания спецификации и указывается без учёта налога на добавленную стоимость.</w:t>
      </w:r>
    </w:p>
    <w:p>
      <w:r>
        <w:t>2.2. Порядок применения скидок к цене прайс-листа установлен регламентом SALES-REGL-SKIDKI и указывается в спецификации.</w:t>
      </w:r>
    </w:p>
    <w:p>
      <w:r>
        <w:t>2.3. Оплата производится в порядке, установленном спецификацией: полная предоплата, частичная предоплата либо отсрочка платежа после отгрузки — конкретный порядок и сроки указываются в спецификации к настоящему договору. Для настоящего договора Стороны устанавливают отсрочку платежа 45 (сорок пять) календарных дней с даты поставки партии.</w:t>
      </w:r>
    </w:p>
    <w:p>
      <w:r>
        <w:t>2.4. При нарушении Покупателем срока оплаты Поставщик вправе приостановить отгрузку последующих партий продукции до погашения задолженности в порядке, установленном регламентом SALES-REGL-ZAKAZ.</w:t>
      </w:r>
    </w:p>
    <w:p>
      <w:r>
        <w:t>2.5. Стоимость доставки продукции транспортом, привлечённым Поставщиком, не включается в цену продукции и оплачивается Покупателем отдельно в порядке, установленном приложением SALES-PRIL-LOGISTIKA, если иное не согласовано сторонами в спецификации.</w:t>
      </w:r>
    </w:p>
    <w:p>
      <w:pPr>
        <w:pStyle w:val="Heading2"/>
      </w:pPr>
      <w:r>
        <w:t>3. Сроки поставки</w:t>
      </w:r>
    </w:p>
    <w:p>
      <w:r>
        <w:t>3.1. Срок изготовления партии продукции устанавливается в соответствии с документом SALES-SROKI-2026 и указывается в спецификации.</w:t>
      </w:r>
    </w:p>
    <w:p>
      <w:r>
        <w:t>3.2. Срок изготовления отсчитывается с даты поступления предоплаты, предусмотренной спецификацией, либо с даты подписания сторонами спецификации, если предоплата спецификацией не предусмотрена, — в зависимости от того, какое из событий наступит позднее.</w:t>
      </w:r>
    </w:p>
    <w:p>
      <w:r>
        <w:t>3.3. По согласованию сторон и с наценкой за срочность, установленной документом SALES-SROKI-2026, допускается сокращённый срок изготовления партии.</w:t>
      </w:r>
    </w:p>
    <w:p>
      <w:r>
        <w:t>3.4. Поставка продукции осуществляется в порядке, установленном приложением SALES-PRIL-LOGISTIKA.</w:t>
      </w:r>
    </w:p>
    <w:p>
      <w:r>
        <w:t>3.5. Об изменении согласованного срока изготовления партии Поставщик уведомляет Покупателя не позднее одного рабочего дня с момента, когда причина изменения срока стала известна Поставщику.</w:t>
      </w:r>
    </w:p>
    <w:p>
      <w:pPr>
        <w:pStyle w:val="Heading2"/>
      </w:pPr>
      <w:r>
        <w:t>4. Качество и приёмка</w:t>
      </w:r>
    </w:p>
    <w:p>
      <w:r>
        <w:t>4.1. Качество продукции должно соответствовать техническим условиям на изделие, действующим на дату изготовления партии.</w:t>
      </w:r>
    </w:p>
    <w:p>
      <w:r>
        <w:t>4.2. Порядок приёмки продукции по количеству и качеству установлен приложением SALES-PRIL-KACHESTVO.</w:t>
      </w:r>
    </w:p>
    <w:p>
      <w:r>
        <w:t>4.3. Гарантийные обязательства Поставщика установлены приложением SALES-PRIL-GARANTIYA.</w:t>
      </w:r>
    </w:p>
    <w:p>
      <w:r>
        <w:t>4.4. Продукция, не соответствующая техническим условиям, к отгрузке не допускается; решение по продукции, не прошедшей приёмочный контроль, принимается Поставщиком в порядке, установленном его внутренними регламентами системы качества.</w:t>
      </w:r>
    </w:p>
    <w:p>
      <w:pPr>
        <w:pStyle w:val="Heading2"/>
      </w:pPr>
      <w:r>
        <w:t>5. Упаковка и маркировка</w:t>
      </w:r>
    </w:p>
    <w:p>
      <w:r>
        <w:t>5.1. Упаковка, консервация и маркировка продукции выполняются в порядке, установленном приложением SALES-PRIL-UPAKOVKA.</w:t>
      </w:r>
    </w:p>
    <w:p>
      <w:r>
        <w:t>5.2. Расходы по упаковке и консервации продукции включены в цену продукции, если иное не согласовано сторонами.</w:t>
      </w:r>
    </w:p>
    <w:p>
      <w:pPr>
        <w:pStyle w:val="Heading2"/>
      </w:pPr>
      <w:r>
        <w:t>6. Ответственность сторон</w:t>
      </w:r>
    </w:p>
    <w:p>
      <w:r>
        <w:t>6.1. За нарушение Поставщиком согласованного срока поставки партии Поставщик уплачивает Покупателю неустойку в размере 0,1 % от стоимости партии за каждый день просрочки, но не более 10 % от стоимости партии, если иной размер не установлен спецификацией.</w:t>
      </w:r>
    </w:p>
    <w:p>
      <w:r>
        <w:t>6.2. За нарушение Покупателем срока оплаты партии Покупатель уплачивает Поставщику неустойку в размере, установленном спецификацией.</w:t>
      </w:r>
    </w:p>
    <w:p>
      <w:r>
        <w:t>6.3. Уплата неустойки не освобождает сторону от исполнения обязательств в натуре.</w:t>
      </w:r>
    </w:p>
    <w:p>
      <w:r>
        <w:t>6.4. Сторона не несёт ответственности за неисполнение обязательства, если неисполнение вызвано нарушением обязательств контрагентом другой стороны, при условии письменного уведомления другой стороны о невозможности исполнения в согласованный срок.</w:t>
      </w:r>
    </w:p>
    <w:p>
      <w:pPr>
        <w:pStyle w:val="Heading2"/>
      </w:pPr>
      <w:r>
        <w:t>7. Обстоятельства непреодолимой силы</w:t>
      </w:r>
    </w:p>
    <w:p>
      <w:r>
        <w:t>7.1. Сторона освобождается от ответственности за неисполнение обязательств, если оно вызвано обстоятельствами непреодолимой силы, наступившими после заключения договора и не зависящими от воли сторон.</w:t>
      </w:r>
    </w:p>
    <w:p>
      <w:r>
        <w:t>7.2. Сторона, для которой наступили обстоятельства непреодолимой силы, обязана уведомить другую сторону не позднее пяти рабочих дней с даты их наступления.</w:t>
      </w:r>
    </w:p>
    <w:p>
      <w:r>
        <w:t>7.3. К обстоятельствам непреодолимой силы относятся, в частности, стихийные бедствия, пожар, военные действия и акты органов государственной власти, существенно затрудняющие исполнение обязательств по договору.</w:t>
      </w:r>
    </w:p>
    <w:p>
      <w:pPr>
        <w:pStyle w:val="Heading2"/>
      </w:pPr>
      <w:r>
        <w:t>8. Срок действия и порядок расторжения</w:t>
      </w:r>
    </w:p>
    <w:p>
      <w:r>
        <w:t>8.1. Договор вступает в силу с 01.01.2027 и действует до 31.12.2027, а в части обязательств, не исполненных на эту дату, — до полного их исполнения сторонами.</w:t>
      </w:r>
    </w:p>
    <w:p>
      <w:r>
        <w:t>8.2. Договор может быть расторгнут по соглашению сторон либо в одностороннем порядке при существенном нарушении условий договора другой стороной с письменным уведомлением не менее чем за 30 календарных дней.</w:t>
      </w:r>
    </w:p>
    <w:p>
      <w:r>
        <w:t>8.3. При расторжении договора стороны производят взаиморасчёты по фактически поставленной и оплаченной продукции в течение 10 рабочих дней с даты расторжения.</w:t>
      </w:r>
    </w:p>
    <w:p>
      <w:pPr>
        <w:pStyle w:val="Heading2"/>
      </w:pPr>
      <w:r>
        <w:t>9. Реквизиты и подписи сторон</w:t>
      </w:r>
    </w:p>
    <w:p>
      <w:r>
        <w:t>9.1. Реквизиты Сторон: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Реквизит</w:t>
            </w:r>
          </w:p>
        </w:tc>
        <w:tc>
          <w:tcPr>
            <w:tcW w:type="dxa" w:w="2880"/>
          </w:tcPr>
          <w:p>
            <w:r>
              <w:t>Поставщик</w:t>
            </w:r>
          </w:p>
        </w:tc>
        <w:tc>
          <w:tcPr>
            <w:tcW w:type="dxa" w:w="2880"/>
          </w:tcPr>
          <w:p>
            <w:r>
              <w:t>Покупатель</w:t>
            </w:r>
          </w:p>
        </w:tc>
      </w:tr>
      <w:tr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ООО «Родос-Деталь-Сборка»</w:t>
            </w:r>
          </w:p>
        </w:tc>
        <w:tc>
          <w:tcPr>
            <w:tcW w:type="dxa" w:w="2880"/>
          </w:tcPr>
          <w:p>
            <w:r>
              <w:t>АО «Редмаш»</w:t>
            </w:r>
          </w:p>
        </w:tc>
      </w:tr>
      <w:tr>
        <w:tc>
          <w:tcPr>
            <w:tcW w:type="dxa" w:w="2880"/>
          </w:tcPr>
          <w:p>
            <w:r>
              <w:t>ИНН / КПП</w:t>
            </w:r>
          </w:p>
        </w:tc>
        <w:tc>
          <w:tcPr>
            <w:tcW w:type="dxa" w:w="2880"/>
          </w:tcPr>
          <w:p>
            <w:r>
              <w:t>006320445566 / 006301001</w:t>
            </w:r>
          </w:p>
        </w:tc>
        <w:tc>
          <w:tcPr>
            <w:tcW w:type="dxa" w:w="2880"/>
          </w:tcPr>
          <w:p>
            <w:r>
              <w:t>005250778899 / 005250001</w:t>
            </w:r>
          </w:p>
        </w:tc>
      </w:tr>
      <w:tr>
        <w:tc>
          <w:tcPr>
            <w:tcW w:type="dxa" w:w="2880"/>
          </w:tcPr>
          <w:p>
            <w:r>
              <w:t>ОГРН</w:t>
            </w:r>
          </w:p>
        </w:tc>
        <w:tc>
          <w:tcPr>
            <w:tcW w:type="dxa" w:w="2880"/>
          </w:tcPr>
          <w:p>
            <w:r>
              <w:t>0026320445566</w:t>
            </w:r>
          </w:p>
        </w:tc>
        <w:tc>
          <w:tcPr>
            <w:tcW w:type="dxa" w:w="2880"/>
          </w:tcPr>
          <w:p>
            <w:r>
              <w:t>0025250778899</w:t>
            </w:r>
          </w:p>
        </w:tc>
      </w:tr>
      <w:tr>
        <w:tc>
          <w:tcPr>
            <w:tcW w:type="dxa" w:w="2880"/>
          </w:tcPr>
          <w:p>
            <w:r>
              <w:t>Адрес</w:t>
            </w:r>
          </w:p>
        </w:tc>
        <w:tc>
          <w:tcPr>
            <w:tcW w:type="dxa" w:w="2880"/>
          </w:tcPr>
          <w:p>
            <w:r>
              <w:t>445039, Самарская обл., г. Тольятти, ул. Индустриальная, 7</w:t>
            </w:r>
          </w:p>
        </w:tc>
        <w:tc>
          <w:tcPr>
            <w:tcW w:type="dxa" w:w="2880"/>
          </w:tcPr>
          <w:p>
            <w:r>
              <w:t>г. Нижний Новгород</w:t>
            </w:r>
          </w:p>
        </w:tc>
      </w:tr>
      <w:tr>
        <w:tc>
          <w:tcPr>
            <w:tcW w:type="dxa" w:w="2880"/>
          </w:tcPr>
          <w:p>
            <w:r>
              <w:t>Банк</w:t>
            </w:r>
          </w:p>
        </w:tc>
        <w:tc>
          <w:tcPr>
            <w:tcW w:type="dxa" w:w="2880"/>
          </w:tcPr>
          <w:p>
            <w:r>
              <w:t>АО «Демобанк»</w:t>
            </w:r>
          </w:p>
        </w:tc>
        <w:tc>
          <w:tcPr>
            <w:tcW w:type="dxa" w:w="2880"/>
          </w:tcPr>
          <w:p>
            <w:r>
              <w:t>АО «Демобанк»</w:t>
            </w:r>
          </w:p>
        </w:tc>
      </w:tr>
      <w:tr>
        <w:tc>
          <w:tcPr>
            <w:tcW w:type="dxa" w:w="2880"/>
          </w:tcPr>
          <w:p>
            <w:r>
              <w:t>БИК</w:t>
            </w:r>
          </w:p>
        </w:tc>
        <w:tc>
          <w:tcPr>
            <w:tcW w:type="dxa" w:w="2880"/>
          </w:tcPr>
          <w:p>
            <w:r>
              <w:t>004999999</w:t>
            </w:r>
          </w:p>
        </w:tc>
        <w:tc>
          <w:tcPr>
            <w:tcW w:type="dxa" w:w="2880"/>
          </w:tcPr>
          <w:p>
            <w:r>
              <w:t>004999999</w:t>
            </w:r>
          </w:p>
        </w:tc>
      </w:tr>
      <w:tr>
        <w:tc>
          <w:tcPr>
            <w:tcW w:type="dxa" w:w="2880"/>
          </w:tcPr>
          <w:p>
            <w:r>
              <w:t>Расчётный счёт</w:t>
            </w:r>
          </w:p>
        </w:tc>
        <w:tc>
          <w:tcPr>
            <w:tcW w:type="dxa" w:w="2880"/>
          </w:tcPr>
          <w:p>
            <w:r>
              <w:t>00702810000000000002</w:t>
            </w:r>
          </w:p>
        </w:tc>
        <w:tc>
          <w:tcPr>
            <w:tcW w:type="dxa" w:w="2880"/>
          </w:tcPr>
          <w:p>
            <w:r>
              <w:t>00702810000000000045</w:t>
            </w:r>
          </w:p>
        </w:tc>
      </w:tr>
      <w:tr>
        <w:tc>
          <w:tcPr>
            <w:tcW w:type="dxa" w:w="2880"/>
          </w:tcPr>
          <w:p>
            <w:r>
              <w:t>Корреспондентский счёт</w:t>
            </w:r>
          </w:p>
        </w:tc>
        <w:tc>
          <w:tcPr>
            <w:tcW w:type="dxa" w:w="2880"/>
          </w:tcPr>
          <w:p>
            <w:r>
              <w:t>00101810000000000001</w:t>
            </w:r>
          </w:p>
        </w:tc>
        <w:tc>
          <w:tcPr>
            <w:tcW w:type="dxa" w:w="2880"/>
          </w:tcPr>
          <w:p>
            <w:r>
              <w:t>00101810000000000001</w:t>
            </w:r>
          </w:p>
        </w:tc>
      </w:tr>
      <w:tr>
        <w:tc>
          <w:tcPr>
            <w:tcW w:type="dxa" w:w="2880"/>
          </w:tcPr>
          <w:p>
            <w:r>
              <w:t>Подпись</w:t>
            </w:r>
          </w:p>
        </w:tc>
        <w:tc>
          <w:tcPr>
            <w:tcW w:type="dxa" w:w="2880"/>
          </w:tcPr>
          <w:p>
            <w:r>
              <w:t>Генеральный директор</w:t>
            </w:r>
          </w:p>
        </w:tc>
        <w:tc>
          <w:tcPr>
            <w:tcW w:type="dxa" w:w="2880"/>
          </w:tcPr>
          <w:p>
            <w:r>
              <w:t>уполномоченный представитель</w:t>
            </w:r>
          </w:p>
        </w:tc>
      </w:tr>
    </w:tbl>
    <w:p>
      <w:r>
        <w:t>9.2. Договор подписывается уполномоченными представителями сторон и скрепляется печатями (при наличии).</w:t>
      </w:r>
    </w:p>
    <w:p>
      <w:r>
        <w:t>9.3. Лицо, подписывающее договор от имени стороны, обязано по требованию другой стороны предъявить документ, подтверждающий полномочия на подписание: доверенность или приказ о назначении на должность.</w:t>
      </w:r>
    </w:p>
    <w:p>
      <w:pPr>
        <w:pStyle w:val="Heading2"/>
      </w:pPr>
      <w:r>
        <w:t>10. Приложения</w:t>
      </w:r>
    </w:p>
    <w:p>
      <w:r>
        <w:t>10.1. Приложение 1 — требования к качеству и порядок приёмки по количеству и качеству (SALES-PRIL-KACHESTVO).</w:t>
      </w:r>
    </w:p>
    <w:p>
      <w:r>
        <w:t>10.2. Приложение 2 — упаковка, консервация и маркировка (SALES-PRIL-UPAKOVKA).</w:t>
      </w:r>
    </w:p>
    <w:p>
      <w:r>
        <w:t>10.3. Приложение 3 — гарантийные обязательства (SALES-PRIL-GARANTIYA).</w:t>
      </w:r>
    </w:p>
    <w:p>
      <w:r>
        <w:t>10.4. Приложение 4 — условия поставки и логистика (SALES-PRIL-LOGISTIKA).</w:t>
      </w:r>
    </w:p>
    <w:p>
      <w:pPr>
        <w:pStyle w:val="Heading2"/>
      </w:pPr>
      <w:r>
        <w:t>11. Конфиденциальность</w:t>
      </w:r>
    </w:p>
    <w:p>
      <w:r>
        <w:t>11.1. Стороны обязуются не разглашать третьим лицам условия настоящего договора, цены и объёмы поставок, за исключением случаев, установленных законодательством Российской Федерации, либо с письменного согласия другой стороны.</w:t>
      </w:r>
    </w:p>
    <w:p>
      <w:r>
        <w:t>11.2. Обязательство по конфиденциальности действует в течение срока действия договора и трёх лет после его прекращения.</w:t>
      </w:r>
    </w:p>
    <w:p>
      <w:pPr>
        <w:pStyle w:val="Heading2"/>
      </w:pPr>
      <w:r>
        <w:t>12. Изменение и дополнение договора</w:t>
      </w:r>
    </w:p>
    <w:p>
      <w:r>
        <w:t>12.1. Изменения и дополнения к настоящему договору действительны при условии, что они совершены в письменной форме и подписаны уполномоченными представителями сторон.</w:t>
      </w:r>
    </w:p>
    <w:p>
      <w:r>
        <w:t>12.2. Спецификации, подписанные сторонами после заключения договора, являются его неотъемлемой частью и не требуют оформления в виде дополнительного соглашения к договору.</w:t>
      </w:r>
    </w:p>
    <w:p>
      <w:pPr>
        <w:pStyle w:val="Heading2"/>
      </w:pPr>
      <w:r>
        <w:t>13. Разрешение споров</w:t>
      </w:r>
    </w:p>
    <w:p>
      <w:r>
        <w:t>13.1. Споры и разногласия по настоящему договору стороны разрешают путём переговоров с обязательным направлением письменной претензии.</w:t>
      </w:r>
    </w:p>
    <w:p>
      <w:r>
        <w:t>13.2. При недостижении согласия спор передаётся на рассмотрение арбитражного суда по месту нахождения ответчика в порядке, установленном законодательством Российской Федерации.</w:t>
      </w:r>
    </w:p>
    <w:p>
      <w:pPr>
        <w:pStyle w:val="Heading2"/>
      </w:pPr>
      <w:r>
        <w:t>14. Заключительные положения</w:t>
      </w:r>
    </w:p>
    <w:p>
      <w:r>
        <w:t>14.1. Настоящий договор составлен в двух экземплярах, имеющих равную юридическую силу, по одному для каждой из сторон.</w:t>
      </w:r>
    </w:p>
    <w:p>
      <w:r>
        <w:t>14.2. Во всём, что не урегулировано настоящим договором, стороны руководствуются законодательством Российской Федерации.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