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договора поставки металлопродукции № ТСУ-2026/118</w:t>
      </w:r>
    </w:p>
    <w:p>
      <w:r>
        <w:t>Проект договора в редакции Поставщика от 22.09.2026, направлен в адрес ООО «Родос-Деталь» для рассмотрения и подписания.</w:t>
      </w:r>
    </w:p>
    <w:p>
      <w:r>
        <w:t>г. Екатеринбург</w:t>
      </w:r>
    </w:p>
    <w:p>
      <w:r>
        <w:t>Общество с ограниченной ответственностью «ТехСнаб-Урал», именуемое в дальнейшем «Поставщик», в лице генерального директора, действующего на основании Устава, с одной стороны, и общество с ограниченной ответственностью «Родос-Деталь», именуемое в дальнейшем «Покупатель», в лице уполномоченного представителя, действующего на основании Устава, с другой стороны, совместно именуемые «Стороны», заключили настоящий договор о нижеследующем.</w:t>
      </w:r>
    </w:p>
    <w:p>
      <w:pPr>
        <w:pStyle w:val="Heading2"/>
      </w:pPr>
      <w:r>
        <w:t>1. Предмет договора</w:t>
      </w:r>
    </w:p>
    <w:p>
      <w:r>
        <w:t>1.1. Поставщик обязуется передать в собственность Покупателя металлопродукцию согласно спецификациям, являющимся неотъемлемой частью настоящего договора, а Покупатель обязуется принять и оплатить продукцию на условиях настоящего договора.</w:t>
      </w:r>
    </w:p>
    <w:p>
      <w:r>
        <w:t>1.2. Марка стали, профиль, размер, количество и цена продукции по каждой партии указываются в спецификации, подписываемой Сторонами до отгрузки партии.</w:t>
      </w:r>
    </w:p>
    <w:p>
      <w:r>
        <w:t>1.3. Технические требования к продукции устанавливаются государственными стандартами, указанными в пункте 1.4 настоящего договора, либо иными нормативными документами, согласованными Сторонами в спецификации.</w:t>
      </w:r>
    </w:p>
    <w:p>
      <w:r>
        <w:t>1.4. Ассортимент продукции по настоящему договору включает: круг горячекатаный из стали 40Х ГОСТ 4543-2016 диаметрами от 45 до 140 мм; круг и поковку из стали 45 ГОСТ 1050-2013 диаметрами от 50 до 160 мм; поковку из стали 38ХС ГОСТ 4543-2016; круг из стали 20Х13 ГОСТ 5632-2014.</w:t>
      </w:r>
    </w:p>
    <w:p>
      <w:r>
        <w:t>1.5. Право собственности на продукцию и риск её случайной гибели или повреждения переходят к Покупателю с момента передачи продукции перевозчику либо уполномоченному представителю Покупателя на складе Поставщика.</w:t>
      </w:r>
    </w:p>
    <w:p>
      <w:pPr>
        <w:pStyle w:val="Heading2"/>
      </w:pPr>
      <w:r>
        <w:t>2. Цена и порядок расчётов</w:t>
      </w:r>
    </w:p>
    <w:p>
      <w:r>
        <w:t>2.1. Цена продукции определяется действующим прайс-листом Поставщика на дату подписания спецификации и указывается без учёта налога на добавленную стоимость.</w:t>
      </w:r>
    </w:p>
    <w:p>
      <w:r>
        <w:t>2.2. Общая сумма настоящего договора составляет 6 200 000 (шесть миллионов двести тысяч) рублей без учёта налога на добавленную стоимость. Налог на добавленную стоимость начисляется дополнительно по ставке, установленной законодательством Российской Федерации на дату отгрузки партии.</w:t>
      </w:r>
    </w:p>
    <w:p>
      <w:r>
        <w:t>2.3. Оплата продукции производится Покупателем в порядке отсрочки платежа на срок 90 (девяносто) календарных дней с даты поставки соответствующей партии.</w:t>
      </w:r>
    </w:p>
    <w:p>
      <w:r>
        <w:t>2.4. Датой поставки для целей исчисления срока отсрочки считается дата подписания универсального передаточного документа уполномоченным представителем Покупателя.</w:t>
      </w:r>
    </w:p>
    <w:p>
      <w:r>
        <w:t>2.5. Оплата производится в безналичном порядке платёжным поручением на расчётный счёт Поставщика, указанный в разделе 9 настоящего договора, с указанием в назначении платежа номера и даты договора и номера спецификации.</w:t>
      </w:r>
    </w:p>
    <w:p>
      <w:r>
        <w:t>2.6. Поставщик вправе в одностороннем порядке пересматривать цены на продукцию в связи с изменением биржевых котировок металла, тарифов перевозчиков и курса иностранных валют, уведомив Покупателя за 5 (пять) календарных дней до даты введения новых цен. Изменённые цены применяются ко всем партиям, отгружаемым после даты введения новых цен, в том числе по ранее подписанным спецификациям, и не требуют оформления дополнительного соглашения к настоящему договору.</w:t>
      </w:r>
    </w:p>
    <w:p>
      <w:r>
        <w:t>2.7. При нарушении Покупателем срока оплаты Поставщик вправе приостановить отгрузку последующих партий продукции до полного погашения задолженности.</w:t>
      </w:r>
    </w:p>
    <w:p>
      <w:pPr>
        <w:pStyle w:val="Heading2"/>
      </w:pPr>
      <w:r>
        <w:t>3. Сроки поставки</w:t>
      </w:r>
    </w:p>
    <w:p>
      <w:r>
        <w:t>3.1. Срок поставки партии продукции составляет 20 (двадцать) рабочих дней с даты подписания Сторонами спецификации, если иной срок не установлен спецификацией.</w:t>
      </w:r>
    </w:p>
    <w:p>
      <w:r>
        <w:t>3.2. Срок поставки отсчитывается с даты подписания Сторонами спецификации, а при наличии в спецификации условия о предварительной оплате — с даты поступления денежных средств на расчётный счёт Поставщика.</w:t>
      </w:r>
    </w:p>
    <w:p>
      <w:r>
        <w:t>3.3. Досрочная поставка партии продукции допускается по письменному согласованию Сторон.</w:t>
      </w:r>
    </w:p>
    <w:p>
      <w:r>
        <w:t>3.4. Отгрузка продукции производится со склада Поставщика в г. Екатеринбурге; доставка до склада Покупателя организуется Поставщиком за счёт Покупателя, если условие о доставке согласовано в спецификации.</w:t>
      </w:r>
    </w:p>
    <w:p>
      <w:r>
        <w:t>3.5. Об изменении согласованного срока поставки партии Поставщик уведомляет Покупателя не позднее одного рабочего дня с момента, когда причина изменения срока стала известна Поставщику.</w:t>
      </w:r>
    </w:p>
    <w:p>
      <w:pPr>
        <w:pStyle w:val="Heading2"/>
      </w:pPr>
      <w:r>
        <w:t>4. Качество и приёмка</w:t>
      </w:r>
    </w:p>
    <w:p>
      <w:r>
        <w:t>4.1. Качество продукции должно соответствовать государственным стандартам, указанным в пункте 1.4 настоящего договора, и подтверждаться сертификатом качества завода-изготовителя на каждую партию с указанием номера плавки и химического состава.</w:t>
      </w:r>
    </w:p>
    <w:p>
      <w:r>
        <w:t>4.2. Приёмка продукции по количеству производится Покупателем в момент получения партии путём сверки фактического количества грузовых мест и массы с данными универсального передаточного документа.</w:t>
      </w:r>
    </w:p>
    <w:p>
      <w:r>
        <w:t>4.3. Приёмка продукции по качеству производится Покупателем в течение 10 (десяти) рабочих дней с даты поставки; выявленные несоответствия фиксируются актом, который направляется Поставщику в тот же срок.</w:t>
      </w:r>
    </w:p>
    <w:p>
      <w:r>
        <w:t>4.4. Продукция, поставленная без сертификата качества, принимается Покупателем на ответственное хранение до представления Поставщиком сертификата.</w:t>
      </w:r>
    </w:p>
    <w:p>
      <w:r>
        <w:t>4.5. При обоснованной претензии по качеству Поставщик заменяет несоответствующую продукцию либо возмещает её стоимость в течение 20 (двадцати) рабочих дней с даты получения претензии.</w:t>
      </w:r>
    </w:p>
    <w:p>
      <w:pPr>
        <w:pStyle w:val="Heading2"/>
      </w:pPr>
      <w:r>
        <w:t>5. Упаковка и маркировка</w:t>
      </w:r>
    </w:p>
    <w:p>
      <w:r>
        <w:t>5.1. Продукция отгружается в пачках и связках, обеспечивающих сохранность продукции при перевозке и погрузочно-разгрузочных работах.</w:t>
      </w:r>
    </w:p>
    <w:p>
      <w:r>
        <w:t>5.2. Каждая пачка снабжается металлической биркой с указанием марки стали, профиля, размера, номера плавки и массы. Расходы по упаковке и маркировке включены в цену продукции.</w:t>
      </w:r>
    </w:p>
    <w:p>
      <w:pPr>
        <w:pStyle w:val="Heading2"/>
      </w:pPr>
      <w:r>
        <w:t>6. Ответственность сторон</w:t>
      </w:r>
    </w:p>
    <w:p>
      <w:r>
        <w:t>6.1. За нарушение Покупателем срока оплаты партии продукции Покупатель уплачивает Поставщику неустойку в размере 0,1 % от неоплаченной суммы за каждый календарный день просрочки.</w:t>
      </w:r>
    </w:p>
    <w:p>
      <w:r>
        <w:t>6.2. Уплата неустойки не освобождает сторону от исполнения обязательств в натуре.</w:t>
      </w:r>
    </w:p>
    <w:p>
      <w:r>
        <w:t>6.3. Сторона не несёт ответственности за неисполнение обязательства, если неисполнение вызвано нарушением обязательств контрагентом другой стороны, при условии письменного уведомления другой стороны о невозможности исполнения в согласованный срок.</w:t>
      </w:r>
    </w:p>
    <w:p>
      <w:r>
        <w:t>6.4. Во всём, что не урегулировано настоящим разделом, Стороны несут ответственность в соответствии с законодательством Российской Федерации.</w:t>
      </w:r>
    </w:p>
    <w:p>
      <w:pPr>
        <w:pStyle w:val="Heading2"/>
      </w:pPr>
      <w:r>
        <w:t>7. Обстоятельства непреодолимой силы</w:t>
      </w:r>
    </w:p>
    <w:p>
      <w:r>
        <w:t>7.1. Сторона освобождается от ответственности за неисполнение обязательств, если оно вызвано обстоятельствами непреодолимой силы, наступившими после заключения договора и не зависящими от воли Сторон.</w:t>
      </w:r>
    </w:p>
    <w:p>
      <w:r>
        <w:t>7.2. Сторона, для которой наступили обстоятельства непреодолимой силы, обязана уведомить другую сторону не позднее пяти рабочих дней с даты их наступления.</w:t>
      </w:r>
    </w:p>
    <w:p>
      <w:r>
        <w:t>7.3. К обстоятельствам непреодолимой силы относятся, в частности, стихийные бедствия, пожар, военные действия и акты органов государственной власти, существенно затрудняющие исполнение обязательств по договору.</w:t>
      </w:r>
    </w:p>
    <w:p>
      <w:pPr>
        <w:pStyle w:val="Heading2"/>
      </w:pPr>
      <w:r>
        <w:t>8. Срок действия и порядок расторжения</w:t>
      </w:r>
    </w:p>
    <w:p>
      <w:r>
        <w:t>8.1. Договор вступает в силу с даты подписания Сторонами и действует до 31.12.2027, а в части неисполненных на эту дату обязательств — до их полного исполнения.</w:t>
      </w:r>
    </w:p>
    <w:p>
      <w:r>
        <w:t>8.2. Договор может быть расторгнут по соглашению Сторон либо в одностороннем порядке при существенном нарушении условий договора другой стороной с письменным уведомлением не менее чем за 30 календарных дней.</w:t>
      </w:r>
    </w:p>
    <w:p>
      <w:r>
        <w:t>8.3. При расторжении договора Стороны производят взаиморасчёты по фактически поставленной и оплаченной продукции в течение 10 рабочих дней с даты расторжения.</w:t>
      </w:r>
    </w:p>
    <w:p>
      <w:pPr>
        <w:pStyle w:val="Heading2"/>
      </w:pPr>
      <w:r>
        <w:t>9. Реквизиты и подписи сторон</w:t>
      </w:r>
    </w:p>
    <w:p>
      <w:r>
        <w:t>9.1. Реквизиты Сторон: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Реквизит</w:t>
            </w:r>
          </w:p>
        </w:tc>
        <w:tc>
          <w:tcPr>
            <w:tcW w:type="dxa" w:w="2880"/>
          </w:tcPr>
          <w:p>
            <w:r>
              <w:t>Поставщик</w:t>
            </w:r>
          </w:p>
        </w:tc>
        <w:tc>
          <w:tcPr>
            <w:tcW w:type="dxa" w:w="2880"/>
          </w:tcPr>
          <w:p>
            <w:r>
              <w:t>Покупатель</w:t>
            </w:r>
          </w:p>
        </w:tc>
      </w:tr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ООО «ТехСнаб-Урал»</w:t>
            </w:r>
          </w:p>
        </w:tc>
        <w:tc>
          <w:tcPr>
            <w:tcW w:type="dxa" w:w="2880"/>
          </w:tcPr>
          <w:p>
            <w:r>
              <w:t>ООО «Родос-Деталь»</w:t>
            </w:r>
          </w:p>
        </w:tc>
      </w:tr>
      <w:tr>
        <w:tc>
          <w:tcPr>
            <w:tcW w:type="dxa" w:w="2880"/>
          </w:tcPr>
          <w:p>
            <w:r>
              <w:t>ИНН / КПП</w:t>
            </w:r>
          </w:p>
        </w:tc>
        <w:tc>
          <w:tcPr>
            <w:tcW w:type="dxa" w:w="2880"/>
          </w:tcPr>
          <w:p>
            <w:r>
              <w:t>006658001122 / 006658001</w:t>
            </w:r>
          </w:p>
        </w:tc>
        <w:tc>
          <w:tcPr>
            <w:tcW w:type="dxa" w:w="2880"/>
          </w:tcPr>
          <w:p>
            <w:r>
              <w:t>005904112233 / 005903001</w:t>
            </w:r>
          </w:p>
        </w:tc>
      </w:tr>
      <w:tr>
        <w:tc>
          <w:tcPr>
            <w:tcW w:type="dxa" w:w="2880"/>
          </w:tcPr>
          <w:p>
            <w:r>
              <w:t>ОГРН</w:t>
            </w:r>
          </w:p>
        </w:tc>
        <w:tc>
          <w:tcPr>
            <w:tcW w:type="dxa" w:w="2880"/>
          </w:tcPr>
          <w:p>
            <w:r>
              <w:t>0026658001122</w:t>
            </w:r>
          </w:p>
        </w:tc>
        <w:tc>
          <w:tcPr>
            <w:tcW w:type="dxa" w:w="2880"/>
          </w:tcPr>
          <w:p>
            <w:r>
              <w:t>0025904112233</w:t>
            </w:r>
          </w:p>
        </w:tc>
      </w:tr>
      <w:tr>
        <w:tc>
          <w:tcPr>
            <w:tcW w:type="dxa" w:w="2880"/>
          </w:tcPr>
          <w:p>
            <w:r>
              <w:t>Адрес</w:t>
            </w:r>
          </w:p>
        </w:tc>
        <w:tc>
          <w:tcPr>
            <w:tcW w:type="dxa" w:w="2880"/>
          </w:tcPr>
          <w:p>
            <w:r>
              <w:t>620100, г. Екатеринбург, ул. Машинная, 31, офис 412</w:t>
            </w:r>
          </w:p>
        </w:tc>
        <w:tc>
          <w:tcPr>
            <w:tcW w:type="dxa" w:w="2880"/>
          </w:tcPr>
          <w:p>
            <w:r>
              <w:t>601900, Владимирская обл., г. Ковров, ул. Промышленная, 14</w:t>
            </w:r>
          </w:p>
        </w:tc>
      </w:tr>
      <w:tr>
        <w:tc>
          <w:tcPr>
            <w:tcW w:type="dxa" w:w="2880"/>
          </w:tcPr>
          <w:p>
            <w:r>
              <w:t>Банк</w:t>
            </w:r>
          </w:p>
        </w:tc>
        <w:tc>
          <w:tcPr>
            <w:tcW w:type="dxa" w:w="2880"/>
          </w:tcPr>
          <w:p>
            <w:r>
              <w:t>АО «Демобанк»</w:t>
            </w:r>
          </w:p>
        </w:tc>
        <w:tc>
          <w:tcPr>
            <w:tcW w:type="dxa" w:w="2880"/>
          </w:tcPr>
          <w:p>
            <w:r>
              <w:t>заполняется Покупателем</w:t>
            </w:r>
          </w:p>
        </w:tc>
      </w:tr>
      <w:tr>
        <w:tc>
          <w:tcPr>
            <w:tcW w:type="dxa" w:w="2880"/>
          </w:tcPr>
          <w:p>
            <w:r>
              <w:t>БИК</w:t>
            </w:r>
          </w:p>
        </w:tc>
        <w:tc>
          <w:tcPr>
            <w:tcW w:type="dxa" w:w="2880"/>
          </w:tcPr>
          <w:p>
            <w:r>
              <w:t>004999999</w:t>
            </w:r>
          </w:p>
        </w:tc>
        <w:tc>
          <w:tcPr>
            <w:tcW w:type="dxa" w:w="2880"/>
          </w:tcPr>
          <w:p>
            <w:r>
              <w:t>заполняется Покупателем</w:t>
            </w:r>
          </w:p>
        </w:tc>
      </w:tr>
      <w:tr>
        <w:tc>
          <w:tcPr>
            <w:tcW w:type="dxa" w:w="2880"/>
          </w:tcPr>
          <w:p>
            <w:r>
              <w:t>Расчётный счёт</w:t>
            </w:r>
          </w:p>
        </w:tc>
        <w:tc>
          <w:tcPr>
            <w:tcW w:type="dxa" w:w="2880"/>
          </w:tcPr>
          <w:p>
            <w:r>
              <w:t>00702810000000000118</w:t>
            </w:r>
          </w:p>
        </w:tc>
        <w:tc>
          <w:tcPr>
            <w:tcW w:type="dxa" w:w="2880"/>
          </w:tcPr>
          <w:p>
            <w:r>
              <w:t>заполняется Покупателем</w:t>
            </w:r>
          </w:p>
        </w:tc>
      </w:tr>
      <w:tr>
        <w:tc>
          <w:tcPr>
            <w:tcW w:type="dxa" w:w="2880"/>
          </w:tcPr>
          <w:p>
            <w:r>
              <w:t>Корреспондентский счёт</w:t>
            </w:r>
          </w:p>
        </w:tc>
        <w:tc>
          <w:tcPr>
            <w:tcW w:type="dxa" w:w="2880"/>
          </w:tcPr>
          <w:p>
            <w:r>
              <w:t>00101810000000000001</w:t>
            </w:r>
          </w:p>
        </w:tc>
        <w:tc>
          <w:tcPr>
            <w:tcW w:type="dxa" w:w="2880"/>
          </w:tcPr>
          <w:p>
            <w:r>
              <w:t>заполняется Покупателем</w:t>
            </w:r>
          </w:p>
        </w:tc>
      </w:tr>
      <w:tr>
        <w:tc>
          <w:tcPr>
            <w:tcW w:type="dxa" w:w="2880"/>
          </w:tcPr>
          <w:p>
            <w:r>
              <w:t>Подпись</w:t>
            </w:r>
          </w:p>
        </w:tc>
        <w:tc>
          <w:tcPr>
            <w:tcW w:type="dxa" w:w="2880"/>
          </w:tcPr>
          <w:p>
            <w:r>
              <w:t>Генеральный директор</w:t>
            </w:r>
          </w:p>
        </w:tc>
        <w:tc>
          <w:tcPr>
            <w:tcW w:type="dxa" w:w="2880"/>
          </w:tcPr>
          <w:p>
            <w:r>
              <w:t>уполномоченный представитель</w:t>
            </w:r>
          </w:p>
        </w:tc>
      </w:tr>
    </w:tbl>
    <w:p>
      <w:r>
        <w:t>9.2. Договор подписывается уполномоченными представителями Сторон и скрепляется печатями (при наличии).</w:t>
      </w:r>
    </w:p>
    <w:p>
      <w:r>
        <w:t>9.3. Лицо, подписывающее договор от имени стороны, обязано по требованию другой стороны предъявить документ, подтверждающий полномочия на подписание: доверенность или приказ о назначении на должность.</w:t>
      </w:r>
    </w:p>
    <w:p>
      <w:pPr>
        <w:pStyle w:val="Heading2"/>
      </w:pPr>
      <w:r>
        <w:t>10. Приложения</w:t>
      </w:r>
    </w:p>
    <w:p>
      <w:r>
        <w:t>10.1. Приложение 1 — форма спецификации на партию продукции.</w:t>
      </w:r>
    </w:p>
    <w:p>
      <w:r>
        <w:t>10.2. Приложение 2 — форма заявки Покупателя.</w:t>
      </w:r>
    </w:p>
    <w:p>
      <w:r>
        <w:t>10.3. Приложение 3 — перечень складов отгрузки Поставщика.</w:t>
      </w:r>
    </w:p>
    <w:p>
      <w:pPr>
        <w:pStyle w:val="Heading2"/>
      </w:pPr>
      <w:r>
        <w:t>11. Конфиденциальность</w:t>
      </w:r>
    </w:p>
    <w:p>
      <w:r>
        <w:t>11.1. Стороны обязуются не разглашать третьим лицам условия настоящего договора, цены и объёмы поставок, за исключением случаев, установленных законодательством Российской Федерации, либо с письменного согласия другой стороны.</w:t>
      </w:r>
    </w:p>
    <w:p>
      <w:r>
        <w:t>11.2. Обязательство по конфиденциальности действует в течение срока действия договора и трёх лет после его прекращения.</w:t>
      </w:r>
    </w:p>
    <w:p>
      <w:pPr>
        <w:pStyle w:val="Heading2"/>
      </w:pPr>
      <w:r>
        <w:t>12. Изменение и дополнение договора</w:t>
      </w:r>
    </w:p>
    <w:p>
      <w:r>
        <w:t>12.1. Изменения и дополнения к настоящему договору действительны при условии, что они совершены в письменной форме и подписаны уполномоченными представителями Сторон, за исключением случая, предусмотренного пунктом 2.6 настоящего договора.</w:t>
      </w:r>
    </w:p>
    <w:p>
      <w:r>
        <w:t>12.2. Спецификации, подписанные Сторонами после заключения договора, являются его неотъемлемой частью и не требуют оформления в виде дополнительного соглашения к договору.</w:t>
      </w:r>
    </w:p>
    <w:p>
      <w:pPr>
        <w:pStyle w:val="Heading2"/>
      </w:pPr>
      <w:r>
        <w:t>13. Разрешение споров</w:t>
      </w:r>
    </w:p>
    <w:p>
      <w:r>
        <w:t>13.1. Споры и разногласия по настоящему договору Стороны разрешают путём переговоров с обязательным направлением письменной претензии; срок ответа на претензию — 10 рабочих дней с даты её получения.</w:t>
      </w:r>
    </w:p>
    <w:p>
      <w:r>
        <w:t>13.2. При недостижении согласия спор передаётся на рассмотрение арбитражного суда по месту нахождения ответчика в порядке, установленном законодательством Российской Федерации.</w:t>
      </w:r>
    </w:p>
    <w:p>
      <w:pPr>
        <w:pStyle w:val="Heading2"/>
      </w:pPr>
      <w:r>
        <w:t>14. Заключительные положения</w:t>
      </w:r>
    </w:p>
    <w:p>
      <w:r>
        <w:t>14.1. Настоящий договор составлен в двух экземплярах, имеющих равную юридическую силу, по одному для каждой из Сторон.</w:t>
      </w:r>
    </w:p>
    <w:p>
      <w:r>
        <w:t>14.2. Во всём, что не урегулировано настоящим договором, Стороны руководствуются законодательством Российской Федерации.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