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24.09.2026</w:t>
      </w:r>
    </w:p>
    <w:p>
      <w:r>
        <w:rPr>
          <w:i/>
        </w:rPr>
        <w:t>Вводится в действие с 24.09.2026</w:t>
      </w:r>
    </w:p>
    <w:p>
      <w:pPr>
        <w:pStyle w:val="Title"/>
      </w:pPr>
      <w:r>
        <w:t>Протокол разногласий к проекту договора поставки с ООО «ТехСнаб-Урал»</w:t>
      </w:r>
    </w:p>
    <w:p>
      <w:r>
        <w:t>Протокол разногласий к проекту договора поставки, полученному от ООО «ТехСнаб-Урал» 21.09.2026.</w:t>
      </w:r>
    </w:p>
    <w:p>
      <w:r>
        <w:t>Составлен по итогам согласования по маршруту пункта 3.1 регламента FIN-REGL-DOGOVOR. Согласующие лица возвращали проект инициатору с указанием замечаний в порядке пункта 3.2 того же регламента; настоящий протокол сводит замечания, по которым требуется решение контрагента.</w:t>
      </w:r>
    </w:p>
    <w:p>
      <w:pPr>
        <w:pStyle w:val="Heading2"/>
      </w:pPr>
      <w:r>
        <w:t>1. Разногласия по существенным условиям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Пункт проекта</w:t>
            </w:r>
          </w:p>
        </w:tc>
        <w:tc>
          <w:tcPr>
            <w:tcW w:type="dxa" w:w="1440"/>
          </w:tcPr>
          <w:p>
            <w:r>
              <w:t>Редакция контрагента</w:t>
            </w:r>
          </w:p>
        </w:tc>
        <w:tc>
          <w:tcPr>
            <w:tcW w:type="dxa" w:w="1440"/>
          </w:tcPr>
          <w:p>
            <w:r>
              <w:t>Пункт типовой формы</w:t>
            </w:r>
          </w:p>
        </w:tc>
        <w:tc>
          <w:tcPr>
            <w:tcW w:type="dxa" w:w="1440"/>
          </w:tcPr>
          <w:p>
            <w:r>
              <w:t>Наша редакция</w:t>
            </w:r>
          </w:p>
        </w:tc>
        <w:tc>
          <w:tcPr>
            <w:tcW w:type="dxa" w:w="1440"/>
          </w:tcPr>
          <w:p>
            <w:r>
              <w:t>Квалификация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Отсрочка платежа 90 календарных дней с даты поставки, без обеспечения</w:t>
            </w:r>
          </w:p>
        </w:tc>
        <w:tc>
          <w:tcPr>
            <w:tcW w:type="dxa" w:w="1440"/>
          </w:tcPr>
          <w:p>
            <w:r>
              <w:t>4.3 SALES-DOG-TIPOVOY</w:t>
            </w:r>
          </w:p>
        </w:tc>
        <w:tc>
          <w:tcPr>
            <w:tcW w:type="dxa" w:w="1440"/>
          </w:tcPr>
          <w:p>
            <w:r>
              <w:t>Отсрочка платежа 45 календарных дней с даты поставки</w:t>
            </w:r>
          </w:p>
        </w:tc>
        <w:tc>
          <w:tcPr>
            <w:tcW w:type="dxa" w:w="1440"/>
          </w:tcPr>
          <w:p>
            <w:r>
              <w:t>нетиповое условие, п. 4.2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Неустойка за просрочку поставки не начисляется</w:t>
            </w:r>
          </w:p>
        </w:tc>
        <w:tc>
          <w:tcPr>
            <w:tcW w:type="dxa" w:w="1440"/>
          </w:tcPr>
          <w:p>
            <w:r>
              <w:t>7.2 SALES-DOG-TIPOVOY</w:t>
            </w:r>
          </w:p>
        </w:tc>
        <w:tc>
          <w:tcPr>
            <w:tcW w:type="dxa" w:w="1440"/>
          </w:tcPr>
          <w:p>
            <w:r>
              <w:t>Неустойка 0,1 % от стоимости непоставленной партии за каждый день просрочки</w:t>
            </w:r>
          </w:p>
        </w:tc>
        <w:tc>
          <w:tcPr>
            <w:tcW w:type="dxa" w:w="1440"/>
          </w:tcPr>
          <w:p>
            <w:r>
              <w:t>нетиповое условие, п. 4.2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3.4</w:t>
            </w:r>
          </w:p>
        </w:tc>
        <w:tc>
          <w:tcPr>
            <w:tcW w:type="dxa" w:w="1440"/>
          </w:tcPr>
          <w:p>
            <w:r>
              <w:t>Срок изготовления — 20 рабочих дней с даты подписания спецификации для всех групп продукции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Срок по группе продукции согласно таблице раздела 2 документа SALES-SROKI-2026</w:t>
            </w:r>
          </w:p>
        </w:tc>
        <w:tc>
          <w:tcPr>
            <w:tcW w:type="dxa" w:w="1440"/>
          </w:tcPr>
          <w:p>
            <w:r>
              <w:t>отклонение от регламента сроков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12.1</w:t>
            </w:r>
          </w:p>
        </w:tc>
        <w:tc>
          <w:tcPr>
            <w:tcW w:type="dxa" w:w="1440"/>
          </w:tcPr>
          <w:p>
            <w:r>
              <w:t>Право контрагента в одностороннем порядке изменять номенклатуру спецификации</w:t>
            </w:r>
          </w:p>
        </w:tc>
        <w:tc>
          <w:tcPr>
            <w:tcW w:type="dxa" w:w="1440"/>
          </w:tcPr>
          <w:p>
            <w:r>
              <w:t>отсутствует в типовой форме</w:t>
            </w:r>
          </w:p>
        </w:tc>
        <w:tc>
          <w:tcPr>
            <w:tcW w:type="dxa" w:w="1440"/>
          </w:tcPr>
          <w:p>
            <w:r>
              <w:t>Изменение номенклатуры — по письменному согласованию сторон</w:t>
            </w:r>
          </w:p>
        </w:tc>
        <w:tc>
          <w:tcPr>
            <w:tcW w:type="dxa" w:w="1440"/>
          </w:tcPr>
          <w:p>
            <w:r>
              <w:t>пункт, которого в типовой форме нет</w:t>
            </w:r>
          </w:p>
        </w:tc>
      </w:tr>
    </w:tbl>
    <w:p>
      <w:pPr>
        <w:pStyle w:val="Heading2"/>
      </w:pPr>
      <w:r>
        <w:t>2. Позиция предприятия</w:t>
      </w:r>
    </w:p>
    <w:p>
      <w:r>
        <w:t>2.1. Разногласия № 1 и № 2 относятся к отклонениям от типовых условий и согласованы финансовым директором в порядке пункта 4.2 регламента FIN-REGL-DOGOVOR с условием: отсрочка — не более 45 календарных дней, неустойка — в редакции типовой формы. Иные редакции не принимаются.</w:t>
      </w:r>
    </w:p>
    <w:p>
      <w:r>
        <w:t>2.2. Разногласие № 3 не принимается: единый срок 20 рабочих дней не соответствует таблице раздела 2 документа SALES-SROKI-2026, где срок установлен по группам продукции и для шестерён составляет 28 рабочих дней. Принятие такой редакции сделало бы срок невыполнимым для части номенклатуры.</w:t>
      </w:r>
    </w:p>
    <w:p>
      <w:r>
        <w:t>2.3. Разногласие № 4 не принимается: пункт в типовой форме отсутствует и предоставляет контрагенту одностороннее право, не обеспеченное встречной обязанностью.</w:t>
      </w:r>
    </w:p>
    <w:p>
      <w:r>
        <w:t>2.4. Скидка сверх матрицы прайс-листа проектом договора не предусмотрена; при её появлении требуется согласование коммерческого директора в порядке пункта 4.3 регламента FIN-REGL-DOGOVOR.</w:t>
      </w:r>
    </w:p>
    <w:p>
      <w:pPr>
        <w:pStyle w:val="Heading2"/>
      </w:pPr>
      <w:r>
        <w:t>3.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Юрисконсульт</w:t>
            </w:r>
          </w:p>
        </w:tc>
        <w:tc>
          <w:tcPr>
            <w:tcW w:type="dxa" w:w="2880"/>
          </w:tcPr>
          <w:p>
            <w:r>
              <w:t>Гущина Л. А.</w:t>
            </w:r>
          </w:p>
        </w:tc>
        <w:tc>
          <w:tcPr>
            <w:tcW w:type="dxa" w:w="2880"/>
          </w:tcPr>
          <w:p>
            <w:r>
              <w:t>23.09.2026</w:t>
            </w:r>
          </w:p>
        </w:tc>
      </w:tr>
      <w:tr>
        <w:tc>
          <w:tcPr>
            <w:tcW w:type="dxa" w:w="2880"/>
          </w:tcPr>
          <w:p>
            <w:r>
              <w:t>Главный бухгалтер</w:t>
            </w:r>
          </w:p>
        </w:tc>
        <w:tc>
          <w:tcPr>
            <w:tcW w:type="dxa" w:w="2880"/>
          </w:tcPr>
          <w:p>
            <w:r>
              <w:t>Лапшин Н. С.</w:t>
            </w:r>
          </w:p>
        </w:tc>
        <w:tc>
          <w:tcPr>
            <w:tcW w:type="dxa" w:w="2880"/>
          </w:tcPr>
          <w:p>
            <w:r>
              <w:t>24.09.2026</w:t>
            </w:r>
          </w:p>
        </w:tc>
      </w:tr>
      <w:tr>
        <w:tc>
          <w:tcPr>
            <w:tcW w:type="dxa" w:w="2880"/>
          </w:tcPr>
          <w:p>
            <w:r>
              <w:t>Финансовый директор</w:t>
            </w:r>
          </w:p>
        </w:tc>
        <w:tc>
          <w:tcPr>
            <w:tcW w:type="dxa" w:w="2880"/>
          </w:tcPr>
          <w:p>
            <w:r>
              <w:t>Ушакова И. Н.</w:t>
            </w:r>
          </w:p>
        </w:tc>
        <w:tc>
          <w:tcPr>
            <w:tcW w:type="dxa" w:w="2880"/>
          </w:tcPr>
          <w:p>
            <w:r>
              <w:t>24.09.2026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