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Менеджер по продажам</w:t>
      </w:r>
    </w:p>
    <w:p>
      <w:r>
        <w:rPr>
          <w:i/>
        </w:rPr>
        <w:t>Дата утверждения: 21.09.2026</w:t>
      </w:r>
    </w:p>
    <w:p>
      <w:r>
        <w:rPr>
          <w:i/>
        </w:rPr>
        <w:t>Вводится в действие с 21.09.2026</w:t>
      </w:r>
    </w:p>
    <w:p>
      <w:pPr>
        <w:pStyle w:val="Title"/>
      </w:pPr>
      <w:r>
        <w:t>Служебная записка о передаче на согласование договора, полученного от ООО «ТехСнаб-Урал»</w:t>
      </w:r>
    </w:p>
    <w:p>
      <w:r>
        <w:t>Финансовому директору Ушаковой И. Н.</w:t>
      </w:r>
    </w:p>
    <w:p>
      <w:pPr>
        <w:pStyle w:val="Heading2"/>
      </w:pPr>
      <w:r>
        <w:t>1. Основание</w:t>
      </w:r>
    </w:p>
    <w:p>
      <w:r>
        <w:t>1.1. 21.09.2026 на адрес zakaz@rodos-detal.example.com поступил проект договора поставки от ООО «ТехСнаб-Урал» с предложением заключить договор на поставку валов и шестерён в 2027 году.</w:t>
      </w:r>
    </w:p>
    <w:p>
      <w:r>
        <w:t>1.2. Контрагент обращается впервые: в Реестре контрагентов (REESTR-KA-2026) записи о нём на дату получения проекта не было, договорных отношений и истории поставок нет.</w:t>
      </w:r>
    </w:p>
    <w:p>
      <w:pPr>
        <w:pStyle w:val="Heading2"/>
      </w:pPr>
      <w:r>
        <w:t>2. Что передаётся на согласование</w:t>
      </w:r>
    </w:p>
    <w:p>
      <w:r>
        <w:t>2.1. В порядке пункта 2.2 регламента FIN-REGL-DOGOVOR передаю на согласование договор, полученный от контрагента, с приложением карточки контрагента из Реестра контрагентов. Своего проекта договора предприятие в этом случае не оформляет.</w:t>
      </w:r>
    </w:p>
    <w:p>
      <w:r>
        <w:t>2.2. Приложения: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№</w:t>
            </w:r>
          </w:p>
        </w:tc>
        <w:tc>
          <w:tcPr>
            <w:tcW w:type="dxa" w:w="2880"/>
          </w:tcPr>
          <w:p>
            <w:r>
              <w:t>Документ</w:t>
            </w:r>
          </w:p>
        </w:tc>
        <w:tc>
          <w:tcPr>
            <w:tcW w:type="dxa" w:w="2880"/>
          </w:tcPr>
          <w:p>
            <w:r>
              <w:t>Примечание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Проект договора поставки от ООО «ТехСнаб-Урал»</w:t>
            </w:r>
          </w:p>
        </w:tc>
        <w:tc>
          <w:tcPr>
            <w:tcW w:type="dxa" w:w="2880"/>
          </w:tcPr>
          <w:p>
            <w:r>
              <w:t>14 страниц, получен через ЭДО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Карточка контрагента из Реестра контрагентов (REESTR-KA-2026)</w:t>
            </w:r>
          </w:p>
        </w:tc>
        <w:tc>
          <w:tcPr>
            <w:tcW w:type="dxa" w:w="2880"/>
          </w:tcPr>
          <w:p>
            <w:r>
              <w:t>запись создана 21.09.2026, статус проверки — в работе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Заключение о проверке контрагента</w:t>
            </w:r>
          </w:p>
        </w:tc>
        <w:tc>
          <w:tcPr>
            <w:tcW w:type="dxa" w:w="2880"/>
          </w:tcPr>
          <w:p>
            <w:r>
              <w:t>по пункту 6.1 регламента FIN-REGL-DOLZHOSM, запрошено 21.09.2026</w:t>
            </w:r>
          </w:p>
        </w:tc>
      </w:tr>
    </w:tbl>
    <w:p>
      <w:r>
        <w:t>2.3. Проверку контрагента провожу не я: пункт 6.1 регламента FIN-REGL-DOLZHOSM закрепляет её за бухгалтером по расчётам с контрагентами, а за менеджером по продажам — только инициатива. Запрос на проверку направлен Рыбакову Ю. А. 21.09.2026.</w:t>
      </w:r>
    </w:p>
    <w:p>
      <w:r>
        <w:t>2.4. Плановая сумма договора на 2027 год — 3 800 000 ₽ по плану продаж. Сумма нужна для определения подписанта по разделу 5 регламента FIN-REGL-DOGOVOR и в тексте рамочного проекта не указана.</w:t>
      </w:r>
    </w:p>
    <w:p>
      <w:r>
        <w:t>Менеджер по продажам ______________ Сазонов Н. 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