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Менеджер по продажам</w:t>
      </w:r>
    </w:p>
    <w:p>
      <w:r>
        <w:rPr>
          <w:i/>
        </w:rPr>
        <w:t>Дата утверждения: 16.09.2026</w:t>
      </w:r>
    </w:p>
    <w:p>
      <w:r>
        <w:rPr>
          <w:i/>
        </w:rPr>
        <w:t>Вводится в действие с 16.09.2026</w:t>
      </w:r>
    </w:p>
    <w:p>
      <w:pPr>
        <w:pStyle w:val="Title"/>
      </w:pPr>
      <w:r>
        <w:t>Коммерческое предложение № КП-2026-0191 для ООО «Ремсервис-Урал»</w:t>
      </w:r>
    </w:p>
    <w:p>
      <w:r>
        <w:t>Коммерческое предложение № КП-2026-0191 от 16.09.2026.</w:t>
      </w:r>
    </w:p>
    <w:p>
      <w:r>
        <w:t>Заказчик: ООО «Ремсервис-Урал» (договор поставки РСУ-2024/33). Основание: заявка заказчика от 15.09.2026. Составил: менеджер по продажам Сазонов Н. Ю. Срок действия предложения: 15 календарных дней с даты направления, до 01.10.2026 включительно.</w:t>
      </w:r>
    </w:p>
    <w:p>
      <w:r>
        <w:t>Предложение оформлено по форме SALES-SHABLON-KP в порядке пункта 5.1 регламента SALES-REGL-KP.</w:t>
      </w:r>
    </w:p>
    <w:p>
      <w:pPr>
        <w:pStyle w:val="Heading2"/>
      </w:pPr>
      <w:r>
        <w:t>1. Номенклатура и цена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Артикул</w:t>
            </w:r>
          </w:p>
        </w:tc>
        <w:tc>
          <w:tcPr>
            <w:tcW w:type="dxa" w:w="1234"/>
          </w:tcPr>
          <w:p>
            <w:r>
              <w:t>Чертёжный №</w:t>
            </w:r>
          </w:p>
        </w:tc>
        <w:tc>
          <w:tcPr>
            <w:tcW w:type="dxa" w:w="1234"/>
          </w:tcPr>
          <w:p>
            <w:r>
              <w:t>Наименование</w:t>
            </w:r>
          </w:p>
        </w:tc>
        <w:tc>
          <w:tcPr>
            <w:tcW w:type="dxa" w:w="1234"/>
          </w:tcPr>
          <w:p>
            <w:r>
              <w:t>Группа продукции</w:t>
            </w:r>
          </w:p>
        </w:tc>
        <w:tc>
          <w:tcPr>
            <w:tcW w:type="dxa" w:w="1234"/>
          </w:tcPr>
          <w:p>
            <w:r>
              <w:t>Кол-во, шт.</w:t>
            </w:r>
          </w:p>
        </w:tc>
        <w:tc>
          <w:tcPr>
            <w:tcW w:type="dxa" w:w="1234"/>
          </w:tcPr>
          <w:p>
            <w:r>
              <w:t>Цена за ед., ₽ без НДС</w:t>
            </w:r>
          </w:p>
        </w:tc>
        <w:tc>
          <w:tcPr>
            <w:tcW w:type="dxa" w:w="1234"/>
          </w:tcPr>
          <w:p>
            <w:r>
              <w:t>Сумма, ₽ без НДС</w:t>
            </w:r>
          </w:p>
        </w:tc>
      </w:tr>
      <w:tr>
        <w:tc>
          <w:tcPr>
            <w:tcW w:type="dxa" w:w="1234"/>
          </w:tcPr>
          <w:p>
            <w:r>
              <w:t>RD-450794</w:t>
            </w:r>
          </w:p>
        </w:tc>
        <w:tc>
          <w:tcPr>
            <w:tcW w:type="dxa" w:w="1234"/>
          </w:tcPr>
          <w:p>
            <w:r>
              <w:t>45.67.94</w:t>
            </w:r>
          </w:p>
        </w:tc>
        <w:tc>
          <w:tcPr>
            <w:tcW w:type="dxa" w:w="1234"/>
          </w:tcPr>
          <w:p>
            <w:r>
              <w:t>Ось ролика конвейера</w:t>
            </w:r>
          </w:p>
        </w:tc>
        <w:tc>
          <w:tcPr>
            <w:tcW w:type="dxa" w:w="1234"/>
          </w:tcPr>
          <w:p>
            <w:r>
              <w:t>валы и оси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7 300</w:t>
            </w:r>
          </w:p>
        </w:tc>
        <w:tc>
          <w:tcPr>
            <w:tcW w:type="dxa" w:w="1234"/>
          </w:tcPr>
          <w:p>
            <w:r>
              <w:t>438 000</w:t>
            </w:r>
          </w:p>
        </w:tc>
      </w:tr>
      <w:tr>
        <w:tc>
          <w:tcPr>
            <w:tcW w:type="dxa" w:w="1234"/>
          </w:tcPr>
          <w:p>
            <w:r>
              <w:t>RD-523112</w:t>
            </w:r>
          </w:p>
        </w:tc>
        <w:tc>
          <w:tcPr>
            <w:tcW w:type="dxa" w:w="1234"/>
          </w:tcPr>
          <w:p>
            <w:r>
              <w:t>52.31.12</w:t>
            </w:r>
          </w:p>
        </w:tc>
        <w:tc>
          <w:tcPr>
            <w:tcW w:type="dxa" w:w="1234"/>
          </w:tcPr>
          <w:p>
            <w:r>
              <w:t>Шестерня цилиндрическая z=32, m=4</w:t>
            </w:r>
          </w:p>
        </w:tc>
        <w:tc>
          <w:tcPr>
            <w:tcW w:type="dxa" w:w="1234"/>
          </w:tcPr>
          <w:p>
            <w:r>
              <w:t>шестерни и колёса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21 500</w:t>
            </w:r>
          </w:p>
        </w:tc>
        <w:tc>
          <w:tcPr>
            <w:tcW w:type="dxa" w:w="1234"/>
          </w:tcPr>
          <w:p>
            <w:r>
              <w:t>172 000</w:t>
            </w:r>
          </w:p>
        </w:tc>
      </w:tr>
    </w:tbl>
    <w:p>
      <w:r>
        <w:t>1.1. Итого по прайс-листу: 610 000 ₽ без НДС.</w:t>
      </w:r>
    </w:p>
    <w:p>
      <w:r>
        <w:t>1.2. Категория заказчика: C (установлена договором поставки РСУ-2024/33).</w:t>
      </w:r>
    </w:p>
    <w:p>
      <w:r>
        <w:t>1.3. Применённая скидка: 7 %. Основание — пункт 2.1 регламента SALES-REGL-SKIDKI: базовая скидка категории C. Пороговое значение по сумме заказа для категории C не установлено, дополнительная скидка не применяется (пункт 2.3 регламента), поэтому сумма заказа на итоговую ставку не влияет.</w:t>
      </w:r>
    </w:p>
    <w:p>
      <w:r>
        <w:t>1.4. Ограничение пункта 5.1 регламента SALES-REGL-SKIDKI не применяется: договором предусмотрена предоплата 100 %, что превышает установленный минимум 30 %.</w:t>
      </w:r>
    </w:p>
    <w:p>
      <w:r>
        <w:t>1.5. Сумма к оплате: 567 300 ₽ без НДС (610 000 ₽ минус скидка 7 %).</w:t>
      </w:r>
    </w:p>
    <w:p>
      <w:pPr>
        <w:pStyle w:val="Heading2"/>
      </w:pPr>
      <w:r>
        <w:t>2. Сроки изготовления по группам продукции</w:t>
      </w:r>
    </w:p>
    <w:p>
      <w:r>
        <w:t>2.1. Заявка содержит позиции двух групп продукции, поэтому срок указывается по каждой группе и в целом по заказу в порядке пункта 2.6 регламента SALES-REGL-KP: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Группа продукции</w:t>
            </w:r>
          </w:p>
        </w:tc>
        <w:tc>
          <w:tcPr>
            <w:tcW w:type="dxa" w:w="2880"/>
          </w:tcPr>
          <w:p>
            <w:r>
              <w:t>Позиции</w:t>
            </w:r>
          </w:p>
        </w:tc>
        <w:tc>
          <w:tcPr>
            <w:tcW w:type="dxa" w:w="2880"/>
          </w:tcPr>
          <w:p>
            <w:r>
              <w:t>Стандартный срок, раб. дн.</w:t>
            </w:r>
          </w:p>
        </w:tc>
      </w:tr>
      <w:tr>
        <w:tc>
          <w:tcPr>
            <w:tcW w:type="dxa" w:w="2880"/>
          </w:tcPr>
          <w:p>
            <w:r>
              <w:t>валы и оси</w:t>
            </w:r>
          </w:p>
        </w:tc>
        <w:tc>
          <w:tcPr>
            <w:tcW w:type="dxa" w:w="2880"/>
          </w:tcPr>
          <w:p>
            <w:r>
              <w:t>45.67.94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шестерни и колёса</w:t>
            </w:r>
          </w:p>
        </w:tc>
        <w:tc>
          <w:tcPr>
            <w:tcW w:type="dxa" w:w="2880"/>
          </w:tcPr>
          <w:p>
            <w:r>
              <w:t>52.31.12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</w:tbl>
    <w:p>
      <w:r>
        <w:t>2.2. Срок в целом по заказу — 28 рабочих дней: партия отгружается одной поставкой, поэтому срок определяется по группе с наибольшим сроком изготовления.</w:t>
      </w:r>
    </w:p>
    <w:p>
      <w:r>
        <w:t>2.3. Отсчёт срока — с даты поступления предоплаты на расчётный счёт поставщика, в порядке пункта 3.1 документа SALES-SROKI-2026.</w:t>
      </w:r>
    </w:p>
    <w:p>
      <w:r>
        <w:t>2.4. Ускоренный срок не запрашивался, наценка за срочность не начисляется.</w:t>
      </w:r>
    </w:p>
    <w:p>
      <w:pPr>
        <w:pStyle w:val="Heading2"/>
      </w:pPr>
      <w:r>
        <w:t>3. Подписи</w:t>
      </w:r>
    </w:p>
    <w:p>
      <w:r>
        <w:t>Предложение подписано менеджером по продажам и направлено заказчику в порядке пункта 5.2 регламента SALES-REGL-KP.</w:t>
      </w:r>
    </w:p>
    <w:p>
      <w:r>
        <w:t>Менеджер по продажам ______________ Сазонов Н. 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