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Инженер по продажам</w:t>
      </w:r>
    </w:p>
    <w:p>
      <w:r>
        <w:rPr>
          <w:i/>
        </w:rPr>
        <w:t>Дата утверждения: 23.09.2026</w:t>
      </w:r>
    </w:p>
    <w:p>
      <w:r>
        <w:rPr>
          <w:i/>
        </w:rPr>
        <w:t>Вводится в действие с 23.09.2026</w:t>
      </w:r>
    </w:p>
    <w:p>
      <w:pPr>
        <w:pStyle w:val="Title"/>
      </w:pPr>
      <w:r>
        <w:t>Техническое заключение № 2026-07 по заявке АО «Гидромаш-Юг» на штоки 73.22.30</w:t>
      </w:r>
    </w:p>
    <w:p>
      <w:r>
        <w:t>Техническое заключение № 2026-07 от 23.09.2026 по заявке АО «Гидромаш-Юг» от 22.09.2026.</w:t>
      </w:r>
    </w:p>
    <w:p>
      <w:r>
        <w:t>Заключение составлено инженером по продажам Цветковой М. П. в порядке пункта 3.2 регламента SALES-REGL-KP. Без него менеджер по продажам предложение по этой заявке не формирует.</w:t>
      </w:r>
    </w:p>
    <w:p>
      <w:pPr>
        <w:pStyle w:val="Heading2"/>
      </w:pPr>
      <w:r>
        <w:t>1. Почему заключение потребовалось</w:t>
      </w:r>
    </w:p>
    <w:p>
      <w:r>
        <w:t>1.1. Пункт 3.1 регламента SALES-REGL-KP требует технического заключения, если заявка содержит изменение конструкции относительно серийного чертежа, нестандартный материал, нестандартный допуск либо если действующих технических условий на изделие нет.</w:t>
      </w:r>
    </w:p>
    <w:p>
      <w:r>
        <w:t>1.2. Заявка содержит нестандартный допуск: заказчик просит шероховатость поверхности штока Ra 0,8 вместо серийной Ra 1,6 по чертежу 73.22.30. Это и есть основание пункта 3.1; остальные три признака в заявке отсутствуют — конструкция серийная, материал по чертежу, технические условия действуют.</w:t>
      </w:r>
    </w:p>
    <w:p>
      <w:r>
        <w:t>1.3. Срок подготовки предложения по пункту 2.2 регламента SALES-REGL-KP — не более двух рабочих дней с даты получения заявки — на эту заявку не распространяется: он установлен для случаев, когда техническое заключение не требуется. Фактический срок — от даты настоящего заключения.</w:t>
      </w:r>
    </w:p>
    <w:p>
      <w:pPr>
        <w:pStyle w:val="Heading2"/>
      </w:pPr>
      <w:r>
        <w:t>2. Заключение по существу</w:t>
      </w:r>
    </w:p>
    <w:p>
      <w:r>
        <w:t>2.1. Требуемая шероховатость Ra 0,8 достижима на имеющемся оборудовании введением дополнительной операции полирования после шлифования. Изменение конструкции не требуется, чертёж не пересматривается.</w:t>
      </w:r>
    </w:p>
    <w:p>
      <w:r>
        <w:t>2.2. Дополнительная операция увеличивает трудоёмкость партии и производственный цикл: срок изготовления группы «гидроцилиндры и детали» увеличивается на 3 рабочих дня против стандартных 25 рабочих дней таблицы раздела 2 документа SALES-SROKI-2026.</w:t>
      </w:r>
    </w:p>
    <w:p>
      <w:r>
        <w:t>2.3. Ограничение по объёму: при партии свыше 60 штук полирование становится узким местом участка, и срок требует отдельного согласования с производственно-диспетчерской службой. Заявленные 50 штук в это ограничение не попадают.</w:t>
      </w:r>
    </w:p>
    <w:p>
      <w:r>
        <w:t>2.4. Технические условия на изделие действуют и пересмотра не требуют; заключение о соответствии поставляемой продукции даётся по действующим ТУ.</w:t>
      </w:r>
    </w:p>
    <w:p>
      <w:pPr>
        <w:pStyle w:val="Heading2"/>
      </w:pPr>
      <w:r>
        <w:t>3. Вывод для коммерческого предложения</w:t>
      </w:r>
    </w:p>
    <w:p>
      <w:r>
        <w:t>3.1. Предложение может быть сформировано. Срок изготовления указать 28 рабочих дней вместо 25.</w:t>
      </w:r>
    </w:p>
    <w:p>
      <w:r>
        <w:t>3.2. Отдельной наценки за нестандартный допуск регламентами не предусмотрено; цена — по прайс-листу.</w:t>
      </w:r>
    </w:p>
    <w:p>
      <w:r>
        <w:t>Инженер по продажам ______________ Цветкова М. 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