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ГОСТ Р 2.503-2023 «Единая система конструкторской документации. Правила внесения изменений» (справочная карточка)</w:t>
      </w:r>
    </w:p>
    <w:p>
      <w:pPr>
        <w:pStyle w:val="Heading2"/>
      </w:pPr>
      <w:r>
        <w:t>Реквизиты</w:t>
      </w:r>
    </w:p>
    <w:p>
      <w:r>
        <w:t>Задание предполагало документ «ГОСТ 2.503-2013 „ЕСКД. Правила внесения изменений“». Проверка по protect.gost.ru показала, что этот стандарт утратил силу на территории Российской Федерации; действующий национальный стандарт на ту же тему — ГОСТ Р 2.503-2023 «Единая система конструкторской документации. Правила внесения изменений», утверждённый и введённый в действие приказом Федерального агентства по техническому регулированию и метрологии (Росстандарт) от 10.11.2023 № 1374-ст, с датой введения в действие 01.03.2024. Он заменил ГОСТ 2.503-2013 (который, в свою очередь, заменял ГОСТ 2.503-90). Карточка и doc_id ниже относятся к действующей редакции ГОСТ Р 2.503-2023.</w:t>
      </w:r>
    </w:p>
    <w:p>
      <w:r>
        <w:t>Статус на дату снимка (22.09.2026) — действует, с поправкой, вступившей в силу 25.09.2024.</w:t>
      </w:r>
    </w:p>
    <w:p>
      <w:pPr>
        <w:pStyle w:val="Heading2"/>
      </w:pPr>
      <w:r>
        <w:t>Область применения</w:t>
      </w:r>
    </w:p>
    <w:p>
      <w:r>
        <w:t>Стандарт устанавливает правила внесения изменений в конструкторские, технологические и программные документы (документы Единой системы конструкторской документации), учёта и хранения таких изменений, включая документы на бумажном и электронном носителях.</w:t>
      </w:r>
    </w:p>
    <w:p>
      <w:pPr>
        <w:pStyle w:val="Heading2"/>
      </w:pPr>
      <w:r>
        <w:t>Типовой состав разделов</w:t>
      </w:r>
    </w:p>
    <w:p>
      <w:r>
        <w:t>По открытым метаданным Росстандарта и структуре серии стандартов ЕСКД группы 2.5xx, в стандарт входят (точная постатейная нумерация не подтверждена напрямую по защищённому источнику):</w:t>
      </w:r>
    </w:p>
    <w:p>
      <w:pPr>
        <w:pStyle w:val="ListBullet"/>
      </w:pPr>
      <w:r>
        <w:t>Область применения.</w:t>
      </w:r>
    </w:p>
    <w:p>
      <w:pPr>
        <w:pStyle w:val="ListBullet"/>
      </w:pPr>
      <w:r>
        <w:t>Нормативные ссылки.</w:t>
      </w:r>
    </w:p>
    <w:p>
      <w:pPr>
        <w:pStyle w:val="ListBullet"/>
      </w:pPr>
      <w:r>
        <w:t>Термины и определения.</w:t>
      </w:r>
    </w:p>
    <w:p>
      <w:pPr>
        <w:pStyle w:val="ListBullet"/>
      </w:pPr>
      <w:r>
        <w:t>Общие положения о порядке внесения изменений в документы.</w:t>
      </w:r>
    </w:p>
    <w:p>
      <w:pPr>
        <w:pStyle w:val="ListBullet"/>
      </w:pPr>
      <w:r>
        <w:t>Основания и способы внесения изменений (аннулирование, замена, введение новых документов).</w:t>
      </w:r>
    </w:p>
    <w:p>
      <w:pPr>
        <w:pStyle w:val="ListBullet"/>
      </w:pPr>
      <w:r>
        <w:t>Порядок оформления извещений об изменении.</w:t>
      </w:r>
    </w:p>
    <w:p>
      <w:pPr>
        <w:pStyle w:val="ListBullet"/>
      </w:pPr>
      <w:r>
        <w:t>Учёт и хранение документов об изменениях.</w:t>
      </w:r>
    </w:p>
    <w:p>
      <w:pPr>
        <w:pStyle w:val="ListBullet"/>
      </w:pPr>
      <w:r>
        <w:t>Приложения (формы извещения об изменении и сопутствующих документов).</w:t>
      </w:r>
    </w:p>
    <w:p>
      <w:pPr>
        <w:pStyle w:val="Heading2"/>
      </w:pPr>
      <w:r>
        <w:t>Почему нет полного текста</w:t>
      </w:r>
    </w:p>
    <w:p>
      <w:r>
        <w:t>Официальный текст доступен только через встроенный постраничный просмотрщик protect.gost.ru (компонент doc-viewer), который технически блокирует печать, сохранение (Ctrl+S) и снятие снимков экрана и отдаёт документ отдельными изображениями страниц по токену доступа. Альтернативный источник из списка (internet-law.ru/gosts) хранит документ как отсканированные постраничные изображения, а не как текст. Извлечение текста средствами распознавания (OCR) обходило бы техническую защиту источника и не даёт гарантии точности цитирования, поэтому вместо текста оформлена эта справочная карточка.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