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10.03.2026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01.04.2026</w:t>
      </w:r>
    </w:p>
    <w:p>
      <w:pPr>
        <w:pStyle w:val="Title"/>
      </w:pPr>
      <w:r>
        <w:t>Политика в отношении обработки персональных данных</w:t>
      </w:r>
    </w:p>
    <w:p>
      <w:pPr>
        <w:pStyle w:val="Heading2"/>
      </w:pPr>
      <w:r>
        <w:t>1. Общие положения</w:t>
      </w:r>
    </w:p>
    <w:p>
      <w:r>
        <w:t>1.1. Настоящая политика разработана в соответствии со статьёй 18.1 Федерального закона от 27.07.2006 № 152-ФЗ «О персональных данных» (далее — Закон о персональных данных) и определяет позицию общества как оператора персональных данных по вопросам обработки персональных данных.</w:t>
      </w:r>
    </w:p>
    <w:p>
      <w:r>
        <w:t>1.2. Настоящая политика распространяется на все персональные данные, обрабатываемые обществом с использованием средств автоматизации и без их использования, на всех трёх площадках.</w:t>
      </w:r>
    </w:p>
    <w:p>
      <w:r>
        <w:t>1.3. Настоящий документ не содержит и не должен содержать конкретных персональных данных субъектов — только перечни категорий обрабатываемых сведений и категорий субъектов.</w:t>
      </w:r>
    </w:p>
    <w:p>
      <w:pPr>
        <w:pStyle w:val="Heading2"/>
      </w:pPr>
      <w:r>
        <w:t>2. Цели обработки персональных данных</w:t>
      </w:r>
    </w:p>
    <w:p>
      <w:r>
        <w:t>2.1. Обеспечение соблюдения трудового законодательства при заключении, ведении и прекращении трудовых отношений с работниками.</w:t>
      </w:r>
    </w:p>
    <w:p>
      <w:r>
        <w:t>2.2. Ведение бухгалтерского и налогового учёта, расчёт и выплата заработной платы и иных вознаграждений.</w:t>
      </w:r>
    </w:p>
    <w:p>
      <w:r>
        <w:t>2.3. Подбор персонала и рассмотрение кандидатов на вакантные должности.</w:t>
      </w:r>
    </w:p>
    <w:p>
      <w:r>
        <w:t>2.4. Заключение и исполнение договоров с контрагентами в части данных представителей и контактных лиц контрагентов.</w:t>
      </w:r>
    </w:p>
    <w:p>
      <w:r>
        <w:t>2.5. Обеспечение пропускного режима и внутриобъектовой безопасности на площадках общества.</w:t>
      </w:r>
    </w:p>
    <w:p>
      <w:pPr>
        <w:pStyle w:val="Heading2"/>
      </w:pPr>
      <w:r>
        <w:t>3. Категории субъектов и перечень обрабатываемых данных</w:t>
      </w:r>
    </w:p>
    <w:p>
      <w:r>
        <w:t>3.1. Работники общества: фамилия, имя, отчество; дата и место рождения; реквизиты документа, удостоверяющего личность; адрес регистрации и фактического проживания; сведения об образовании и квалификации; сведения о трудовой деятельности и трудовом стаже; сведения о воинском учёте; ИНН и СНИЛС.</w:t>
      </w:r>
    </w:p>
    <w:p>
      <w:r>
        <w:t>3.2. Кандидаты на трудоустройство: фамилия, имя, отчество; контактные данные; сведения, содержащиеся в резюме и сопроводительных документах.</w:t>
      </w:r>
    </w:p>
    <w:p>
      <w:r>
        <w:t>3.3. Представители и контактные лица контрагентов: фамилия, имя, отчество; должность; контактные данные (телефон, электронная почта), указанные в договоре или доверенности.</w:t>
      </w:r>
    </w:p>
    <w:p>
      <w:r>
        <w:t>3.4. Посетители площадок: фамилия, имя, отчество; реквизиты документа, удостоверяющего личность, — для оформления разового пропуска в соответствии с положением о пропускном и внутриобъектовом режиме.</w:t>
      </w:r>
    </w:p>
    <w:p>
      <w:pPr>
        <w:pStyle w:val="Heading2"/>
      </w:pPr>
      <w:r>
        <w:t>4. Сроки хранения персональных данных</w:t>
      </w:r>
    </w:p>
    <w:p>
      <w:r>
        <w:t>4.1. Персональные данные работников хранятся в течение срока трудовых отношений, а после их прекращения — в сроки, установленные законодательством об архивном деле для документов по личному составу.</w:t>
      </w:r>
    </w:p>
    <w:p>
      <w:r>
        <w:t>4.2. Персональные данные кандидатов, не прошедших отбор, хранятся не более шести месяцев с даты завершения отбора на вакантную должность, после чего подлежат уничтожению, если субъект не дал согласие на более длительное хранение.</w:t>
      </w:r>
    </w:p>
    <w:p>
      <w:r>
        <w:t>4.3. Записи систем видеонаблюдения на пропускных пунктах площадок хранятся не более 30 суток, после чего перезаписываются, если запись не затребована в связи с расследованием происшествия.</w:t>
      </w:r>
    </w:p>
    <w:p>
      <w:pPr>
        <w:pStyle w:val="Heading2"/>
      </w:pPr>
      <w:r>
        <w:t>5. Права субъекта персональных данных</w:t>
      </w:r>
    </w:p>
    <w:p>
      <w:r>
        <w:t>5.1. Субъект персональных данных вправе получить сведения, касающиеся обработки его персональных данных, в порядке, установленном статьёй 14 Закона о персональных данных.</w:t>
      </w:r>
    </w:p>
    <w:p>
      <w:r>
        <w:t>5.2. Субъект персональных данных вправе требовать уточнения, блокирования или уничтожения его персональных данных в случае, если они являются неполными, устаревшими, неточными или получены незаконно.</w:t>
      </w:r>
    </w:p>
    <w:p>
      <w:r>
        <w:t>5.3. Субъект персональных данных вправе отозвать данное им согласие на обработку персональных данных в порядке, установленном статьёй 21 Закона о персональных данных, письменным заявлением на имя генерального директора.</w:t>
      </w:r>
    </w:p>
    <w:p>
      <w:pPr>
        <w:pStyle w:val="Heading2"/>
      </w:pPr>
      <w:r>
        <w:t>6. Порядок уничтожения персональных данных</w:t>
      </w:r>
    </w:p>
    <w:p>
      <w:r>
        <w:t>6.1. Персональные данные подлежат уничтожению при достижении целей обработки, истечении срока хранения либо отзыве согласия субъекта, если иное не предусмотрено законодательством или договором.</w:t>
      </w:r>
    </w:p>
    <w:p>
      <w:r>
        <w:t>6.2. Уничтожение персональных данных производится в течение 30 дней с момента наступления одного из обстоятельств, указанных в пункте 6.1 настоящей политики, на основании акта, составляемого комиссией, назначаемой приказом генерального директора.</w:t>
      </w:r>
    </w:p>
    <w:p>
      <w:pPr>
        <w:pStyle w:val="Heading2"/>
      </w:pPr>
      <w:r>
        <w:t>7. Ответственный за организацию обработки персональных данных</w:t>
      </w:r>
    </w:p>
    <w:p>
      <w:r>
        <w:t>7.1. Ответственный за организацию обработки персональных данных в обществе назначается приказом генерального директора из числа работников отдела кадров.</w:t>
      </w:r>
    </w:p>
    <w:p>
      <w:r>
        <w:t>7.2. Ответственный за организацию обработки персональных данных осуществляет внутренний контроль за соблюдением требований законодательства, организует приём и рассмотрение обращений субъектов персональных данных и доводит настоящую политику до сведения работников.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