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Генеральный директор</w:t>
      </w:r>
    </w:p>
    <w:p>
      <w:r>
        <w:rPr>
          <w:i/>
        </w:rPr>
        <w:t>Дата утверждения: 26.05.2026</w:t>
      </w:r>
    </w:p>
    <w:p>
      <w:r>
        <w:rPr>
          <w:i/>
        </w:rPr>
        <w:t>Вводится в действие с 26.05.2026</w:t>
      </w:r>
    </w:p>
    <w:p>
      <w:pPr>
        <w:pStyle w:val="Title"/>
      </w:pPr>
      <w:r>
        <w:t>Об усилении входного контроля материалов</w:t>
      </w:r>
    </w:p>
    <w:p>
      <w:pPr>
        <w:pStyle w:val="Heading2"/>
      </w:pPr>
      <w:r>
        <w:t>Приказ № 89 от 26.05.2026</w:t>
      </w:r>
    </w:p>
    <w:p>
      <w:r>
        <w:t>В связи с превышением допустимого уровня брака по литью, установленного договором с ООО «Литейный двор» № ЛД-2024/27 (не более 3 % партии), выявленным отделом технического контроля по партии отливок из чугуна СЧ20, поступившей в мае 2026 года, и в целях недопущения запуска в производство некачественных заготовок ПРИКАЗЫВАЮ:</w:t>
      </w:r>
    </w:p>
    <w:p>
      <w:r>
        <w:t>1. Начальнику ОТК оформить акт о несоответствии по факту превышения допустимого уровня брака по договору ЛД-2024/27 и передать его в отдел снабжения в срок до 28.05.2026.</w:t>
      </w:r>
    </w:p>
    <w:p>
      <w:r>
        <w:t>2. Начальнику отдела снабжения направить в адрес ООО «Литейный двор» претензию (PRET-2026-01) с требованием о замене некачественной партии отливок и устранении причин несоответствия.</w:t>
      </w:r>
    </w:p>
    <w:p>
      <w:r>
        <w:t>3. До получения от поставщика письменных гарантий устранения причин несоответствия установить для партий отливок СЧ20, поступающих по договору ЛД-2024/27, сплошной контроль геометрических размеров вместо выборочного.</w:t>
      </w:r>
    </w:p>
    <w:p>
      <w:r>
        <w:t>4. Главному технологу совместно с начальником ОТК в срок до 01.07.2026 подготовить проект новой редакции регламента входного контроля материалов и комплектующих (в дальнейшем — ОТК-РЕГЛ-003, ред. 3) с усиленными требованиями к контролю партий литья, поступающих по договорам, предусматривающим допустимый уровень брака.</w:t>
      </w:r>
    </w:p>
    <w:p>
      <w:r>
        <w:t>5. Начальнику ОТК представлять генеральному директору ежемесячный отчёт о результатах контроля партий, поступающих от ООО «Литейный двор», до устранения выявленных несоответствий.</w:t>
      </w:r>
    </w:p>
    <w:p>
      <w:r>
        <w:t>6. Контроль за исполнением настоящего приказа возложить на главного технолога.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