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13.07.2026</w:t>
      </w:r>
    </w:p>
    <w:p>
      <w:r>
        <w:rPr>
          <w:i/>
        </w:rPr>
        <w:t>Вводится в действие с 13.07.2026</w:t>
      </w:r>
    </w:p>
    <w:p>
      <w:pPr>
        <w:pStyle w:val="Title"/>
      </w:pPr>
      <w:r>
        <w:t>О мерах по итогам аварии на линии цинкования</w:t>
      </w:r>
    </w:p>
    <w:p>
      <w:pPr>
        <w:pStyle w:val="Heading2"/>
      </w:pPr>
      <w:r>
        <w:t>Приказ № 112 от 13.07.2026</w:t>
      </w:r>
    </w:p>
    <w:p>
      <w:r>
        <w:t>В связи с аварийной остановкой линии цинкования АГ-40 (инвентарный номер ОС-0903) в цехе №4 Пермской площадки 09.07.2026 вследствие отказа выпрямителя постоянного тока, повлёкшей простой линии, полный брак партии деталей 73.22.34 «Крышка гидроцилиндра передняя ГЦ-100/56» и 88.14.42 «Фланец присоединительный ø160» и срыв сменного задания, и по итогам разбора обстоятельств инцидента (ИНЦ-2026-05), доложенных техническим директором, и в целях недопущения повторения подобных происшествий на опасных производственных объектах общества ПРИКАЗЫВАЮ:</w:t>
      </w:r>
    </w:p>
    <w:p>
      <w:r>
        <w:t>1. Признать эксплуатацию линии цинкования АГ-40 приостановленной в период с 09:25 09.07.2026 до получения главным механиком подтверждения о готовности линии к работе после замены силового выпрямителя, проверки изоляции и заземления.</w:t>
      </w:r>
    </w:p>
    <w:p>
      <w:r>
        <w:t>2. Главному механику провести внеплановый осмотр технического состояния выпрямителя линии хромирования АГ-25Х (инвентарный номер ОС-0911), как однотипного с отказавшим оборудованием, в срок до 23.07.2026, с оформлением заключения по результатам осмотра.</w:t>
      </w:r>
    </w:p>
    <w:p>
      <w:r>
        <w:t>3. Инженеру по охране труда пересмотреть инструкцию по охране труда для работников гальванического участка (ИОТ-021) до редакции 2, включив требования по действиям персонала при аварийной остановке линии и недопущению залпового сброса растворов в систему нейтрализации стоков, в срок до 15.08.2026.</w:t>
      </w:r>
    </w:p>
    <w:p>
      <w:r>
        <w:t>4. Начальнику цеха №4 совместно с инженером по охране труда провести внеочередной инструктаж для всех работников гальванического участка по действиям при аварийной остановке линий цинкования и хромирования в срок до 16.07.2026.</w:t>
      </w:r>
    </w:p>
    <w:p>
      <w:r>
        <w:t>5. Главному технологу пересмотреть технологический регламент линии цинкования (ТЕХ-РЕГЛ-001), включив предельную непрерывную продолжительность работы выпрямителя и порядок его плановых остановок на охлаждение, в срок до 15.08.2026.</w:t>
      </w:r>
    </w:p>
    <w:p>
      <w:r>
        <w:t>6. Главному технологу проанализировать связь ранее зафиксированной нестабильности покрытия на линии АГ-40 (отчёт 8D-2026-02) с тепловым состоянием выпрямителя и дополнить выводы отчёта 8D-2026-02 с учётом обстоятельств настоящего инцидента в срок до 30.07.2026.</w:t>
      </w:r>
    </w:p>
    <w:p>
      <w:r>
        <w:t>7. Начальнику отдела снабжения уведомить заказчиков забракованных партий — АО «Гидромаш-Юг» (договор ГЮ-2025/04) и ООО «Конвейер-Системс» (договор КС-2025/12) — о переносе сроков отгрузки и согласовать новые сроки в срок до 16.07.2026.</w:t>
      </w:r>
    </w:p>
    <w:p>
      <w:r>
        <w:t>8. Главному бухгалтеру принять к учёту потери от брака партии деталей 73.22.34 и 88.14.42 на основании акта о несоответствии, оформленного начальником ОТК, и затраты на замену выпрямителя на основании заявки на ремонт ЗРМ-2026-03.</w:t>
      </w:r>
    </w:p>
    <w:p>
      <w:r>
        <w:t>9. Главному механику обеспечить внеплановую проверку заземления и изоляции нового выпрямителя линии АГ-40 через 30 суток эксплуатации, но не позднее 09.08.2026.</w:t>
      </w:r>
    </w:p>
    <w:p>
      <w:r>
        <w:t>10. Главному механику совместно с инженером по охране труда представить техническому директору доклад о выполнении настоящего приказа в срок до 25.08.2026.</w:t>
      </w:r>
    </w:p>
    <w:p>
      <w:r>
        <w:t>11. Контроль за исполнением настоящего приказа возложить на технического директора.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