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24.08.2026</w:t>
      </w:r>
    </w:p>
    <w:p>
      <w:r>
        <w:rPr>
          <w:i/>
        </w:rPr>
        <w:t>Вводится в действие с 24.08.2026</w:t>
      </w:r>
    </w:p>
    <w:p>
      <w:pPr>
        <w:pStyle w:val="Title"/>
      </w:pPr>
      <w:r>
        <w:t>О порядке выдачи денежных средств под отчёт на хозяйственные нужды</w:t>
      </w:r>
    </w:p>
    <w:p>
      <w:pPr>
        <w:pStyle w:val="Heading2"/>
      </w:pPr>
      <w:r>
        <w:t>Приказ № 147 от 24.08.2026</w:t>
      </w:r>
    </w:p>
    <w:p>
      <w:r>
        <w:t>В целях упорядочения выдачи работникам денежных средств на хозяйственные нужды структурных подразделений (приобретение расходных материалов, канцелярских товаров, оплата мелких хозяйственных работ) ПРИКАЗЫВАЮ:</w:t>
      </w:r>
    </w:p>
    <w:p>
      <w:r>
        <w:t>1. Установить предельный размер денежных средств, выдаваемых работнику под отчёт на хозяйственные нужды, в сумме 50 000 (пятьдесят тысяч) рублей.</w:t>
      </w:r>
    </w:p>
    <w:p>
      <w:r>
        <w:t>2. Установить срок представления авансового отчёта об использовании денежных средств, выданных на хозяйственные нужды, — не позднее 5 (пяти) рабочих дней со дня получения денежных средств в кассе.</w:t>
      </w:r>
    </w:p>
    <w:p>
      <w:r>
        <w:t>3. Выдачу денежных средств на хозяйственные нужды производить казначею по заявке руководителя структурного подразделения, согласованной главным бухгалтером, с указанием цели расходования.</w:t>
      </w:r>
    </w:p>
    <w:p>
      <w:r>
        <w:t>4. Неизрасходованный остаток денежных средств, выданных на хозяйственные нужды, подлежит возврату в кассу в срок, установленный пунктом 2 настоящего приказа.</w:t>
      </w:r>
    </w:p>
    <w:p>
      <w:r>
        <w:t>5. Главному бухгалтеру обеспечить контроль за целевым использованием денежных средств, выданных на хозяйственные нужды, и соблюдением установленных настоящим приказом сроков отчётности.</w:t>
      </w:r>
    </w:p>
    <w:p>
      <w:r>
        <w:t>6. Контроль за исполнением настоящего приказа возложить на финансового директора.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