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10.07.2026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Акт инвентаризации расчётов с покупателями и поставщиками по состоянию на 30.06.2026</w:t>
      </w:r>
    </w:p>
    <w:p>
      <w:pPr>
        <w:pStyle w:val="Heading2"/>
      </w:pPr>
      <w:r>
        <w:t>1. Основание и состав комиссии</w:t>
      </w:r>
    </w:p>
    <w:p>
      <w:r>
        <w:t>1.1. Инвентаризация расчётов с покупателями и поставщиками проведена по состоянию на 30.06.2026 на основании приказа о проведении инвентаризации расчётов за 1-е полугодие 2026 года.</w:t>
      </w:r>
    </w:p>
    <w:p>
      <w:r>
        <w:t>1.2. Состав инвентаризационной комиссии: председатель — главный бухгалтер, члены комиссии — бухгалтер по расчётам с контрагентами, казначей.</w:t>
      </w:r>
    </w:p>
    <w:p>
      <w:r>
        <w:t>1.3. Инвентаризация проведена путём сверки данных бухгалтерского учёта ООО «Родос-Деталь» с актами сверки взаимных расчётов, подписанными контрагентами, и с данными универсальных передаточных документов за период с 01.01.2026 по 30.06.2026.</w:t>
      </w:r>
    </w:p>
    <w:p>
      <w:pPr>
        <w:pStyle w:val="Heading2"/>
      </w:pPr>
      <w:r>
        <w:t>2. Расчёты с покупателями</w:t>
      </w:r>
    </w:p>
    <w:p>
      <w:r>
        <w:t>2.1. По шести контрагентам, перечисленным в таблице, инвентаризация проведена на основании двусторонних актов сверки взаимных расчётов за 1-е полугодие 2026 года.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Контрагент</w:t>
            </w:r>
          </w:p>
        </w:tc>
        <w:tc>
          <w:tcPr>
            <w:tcW w:type="dxa" w:w="1440"/>
          </w:tcPr>
          <w:p>
            <w:r>
              <w:t>Договор</w:t>
            </w:r>
          </w:p>
        </w:tc>
        <w:tc>
          <w:tcPr>
            <w:tcW w:type="dxa" w:w="1440"/>
          </w:tcPr>
          <w:p>
            <w:r>
              <w:t>Сумма по учёту, ₽</w:t>
            </w:r>
          </w:p>
        </w:tc>
        <w:tc>
          <w:tcPr>
            <w:tcW w:type="dxa" w:w="1440"/>
          </w:tcPr>
          <w:p>
            <w:r>
              <w:t>Подтверждено, ₽</w:t>
            </w:r>
          </w:p>
        </w:tc>
        <w:tc>
          <w:tcPr>
            <w:tcW w:type="dxa" w:w="1440"/>
          </w:tcPr>
          <w:p>
            <w:r>
              <w:t>Не подтверждено, ₽</w:t>
            </w:r>
          </w:p>
        </w:tc>
        <w:tc>
          <w:tcPr>
            <w:tcW w:type="dxa" w:w="1440"/>
          </w:tcPr>
          <w:p>
            <w:r>
              <w:t>Просрочено, ₽</w:t>
            </w:r>
          </w:p>
        </w:tc>
      </w:tr>
      <w:tr>
        <w:tc>
          <w:tcPr>
            <w:tcW w:type="dxa" w:w="1440"/>
          </w:tcPr>
          <w:p>
            <w:r>
              <w:t>АО «Редмаш»</w:t>
            </w:r>
          </w:p>
        </w:tc>
        <w:tc>
          <w:tcPr>
            <w:tcW w:type="dxa" w:w="1440"/>
          </w:tcPr>
          <w:p>
            <w:r>
              <w:t>РМ-2025/01</w:t>
            </w:r>
          </w:p>
        </w:tc>
        <w:tc>
          <w:tcPr>
            <w:tcW w:type="dxa" w:w="1440"/>
          </w:tcPr>
          <w:p>
            <w:r>
              <w:t>2280431.24</w:t>
            </w:r>
          </w:p>
        </w:tc>
        <w:tc>
          <w:tcPr>
            <w:tcW w:type="dxa" w:w="1440"/>
          </w:tcPr>
          <w:p>
            <w:r>
              <w:t>2280431.24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ООО «Привод-НН»</w:t>
            </w:r>
          </w:p>
        </w:tc>
        <w:tc>
          <w:tcPr>
            <w:tcW w:type="dxa" w:w="1440"/>
          </w:tcPr>
          <w:p>
            <w:r>
              <w:t>ПНН-2025/08</w:t>
            </w:r>
          </w:p>
        </w:tc>
        <w:tc>
          <w:tcPr>
            <w:tcW w:type="dxa" w:w="1440"/>
          </w:tcPr>
          <w:p>
            <w:r>
              <w:t>3289410.15</w:t>
            </w:r>
          </w:p>
        </w:tc>
        <w:tc>
          <w:tcPr>
            <w:tcW w:type="dxa" w:w="1440"/>
          </w:tcPr>
          <w:p>
            <w:r>
              <w:t>3289410.15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АО «Гидромаш-Юг»</w:t>
            </w:r>
          </w:p>
        </w:tc>
        <w:tc>
          <w:tcPr>
            <w:tcW w:type="dxa" w:w="1440"/>
          </w:tcPr>
          <w:p>
            <w:r>
              <w:t>ГЮ-2025/04</w:t>
            </w:r>
          </w:p>
        </w:tc>
        <w:tc>
          <w:tcPr>
            <w:tcW w:type="dxa" w:w="1440"/>
          </w:tcPr>
          <w:p>
            <w:r>
              <w:t>2669409.04</w:t>
            </w:r>
          </w:p>
        </w:tc>
        <w:tc>
          <w:tcPr>
            <w:tcW w:type="dxa" w:w="1440"/>
          </w:tcPr>
          <w:p>
            <w:r>
              <w:t>2669409.04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ООО «Конвейер-Системс»</w:t>
            </w:r>
          </w:p>
        </w:tc>
        <w:tc>
          <w:tcPr>
            <w:tcW w:type="dxa" w:w="1440"/>
          </w:tcPr>
          <w:p>
            <w:r>
              <w:t>КС-2025/12</w:t>
            </w:r>
          </w:p>
        </w:tc>
        <w:tc>
          <w:tcPr>
            <w:tcW w:type="dxa" w:w="1440"/>
          </w:tcPr>
          <w:p>
            <w:r>
              <w:t>178611.82</w:t>
            </w:r>
          </w:p>
        </w:tc>
        <w:tc>
          <w:tcPr>
            <w:tcW w:type="dxa" w:w="1440"/>
          </w:tcPr>
          <w:p>
            <w:r>
              <w:t>178611.82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ООО «Ремсервис-Урал»</w:t>
            </w:r>
          </w:p>
        </w:tc>
        <w:tc>
          <w:tcPr>
            <w:tcW w:type="dxa" w:w="1440"/>
          </w:tcPr>
          <w:p>
            <w:r>
              <w:t>РСУ-2024/33</w:t>
            </w:r>
          </w:p>
        </w:tc>
        <w:tc>
          <w:tcPr>
            <w:tcW w:type="dxa" w:w="1440"/>
          </w:tcPr>
          <w:p>
            <w:r>
              <w:t>3108332.09</w:t>
            </w:r>
          </w:p>
        </w:tc>
        <w:tc>
          <w:tcPr>
            <w:tcW w:type="dxa" w:w="1440"/>
          </w:tcPr>
          <w:p>
            <w:r>
              <w:t>3108332.09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3108332.09</w:t>
            </w:r>
          </w:p>
        </w:tc>
      </w:tr>
      <w:tr>
        <w:tc>
          <w:tcPr>
            <w:tcW w:type="dxa" w:w="1440"/>
          </w:tcPr>
          <w:p>
            <w:r>
              <w:t>ТОО «KazMashParts»</w:t>
            </w:r>
          </w:p>
        </w:tc>
        <w:tc>
          <w:tcPr>
            <w:tcW w:type="dxa" w:w="1440"/>
          </w:tcPr>
          <w:p>
            <w:r>
              <w:t>KMP-2025/02</w:t>
            </w:r>
          </w:p>
        </w:tc>
        <w:tc>
          <w:tcPr>
            <w:tcW w:type="dxa" w:w="1440"/>
          </w:tcPr>
          <w:p>
            <w:r>
              <w:t>1060860.85</w:t>
            </w:r>
          </w:p>
        </w:tc>
        <w:tc>
          <w:tcPr>
            <w:tcW w:type="dxa" w:w="1440"/>
          </w:tcPr>
          <w:p>
            <w:r>
              <w:t>1060860.85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Итого по сверенным контрагентам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12587055.19</w:t>
            </w:r>
          </w:p>
        </w:tc>
        <w:tc>
          <w:tcPr>
            <w:tcW w:type="dxa" w:w="1440"/>
          </w:tcPr>
          <w:p>
            <w:r>
              <w:t>12587055.19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3108332.09</w:t>
            </w:r>
          </w:p>
        </w:tc>
      </w:tr>
    </w:tbl>
    <w:p>
      <w:r>
        <w:t>2.2. По контрагентам АО «Редмаш», ООО «Привод-НН», АО «Гидромаш-Юг», ООО «Конвейер-Системс» и ТОО «KazMashParts» остаток задолженности находится в пределах сроков отсрочки платежа, установленных соответствующими договорами; просроченная задолженность не выявлена.</w:t>
      </w:r>
    </w:p>
    <w:p>
      <w:r>
        <w:t>2.3. По контрагенту ООО «Ремсервис-Урал» установлено нарушение условия договора № РСУ-2024/33 о 100-процентной предоплате: отгрузки производились при неполном поступлении предоплаты, вся сумма подтверждённого остатка признана просроченной. По данному контрагенту юридическим отделом направлена претензия № 00-78 от 30.06.2026.</w:t>
      </w:r>
    </w:p>
    <w:p>
      <w:r>
        <w:t>2.4. По дилерским договорам № АТД-2025/06 (ООО «Агротех-Деталь») и № МТЦ-2025/10 (ООО «Машторг-Центр») двусторонние акты сверки за 1-е полугодие 2026 года не запрашивались; сверка расчётов по данным договорам включена в план инвентаризации на 2-е полугодие 2026 года.</w:t>
      </w:r>
    </w:p>
    <w:p>
      <w:pPr>
        <w:pStyle w:val="Heading2"/>
      </w:pPr>
      <w:r>
        <w:t>3. Расчёты с поставщиками</w:t>
      </w:r>
    </w:p>
    <w:p>
      <w:r>
        <w:t>3.1. Обязательства перед поставщиками (кредиторская задолженность) проверены по данным реестров платежей за 1-е полугодие 2026 года и универсальных передаточных документов, полученных от поставщиков.</w:t>
      </w:r>
    </w:p>
    <w:p>
      <w:r>
        <w:t>3.2. Неурегулированной либо просроченной задолженности перед поставщиками по состоянию на 30.06.2026 не выявлено; акты сверки с поставщиками комиссией не запрашивались ввиду отсутствия расхождений по данным учёта.</w:t>
      </w:r>
    </w:p>
    <w:p>
      <w:pPr>
        <w:pStyle w:val="Heading2"/>
      </w:pPr>
      <w:r>
        <w:t>4. Выводы</w:t>
      </w:r>
    </w:p>
    <w:p>
      <w:r>
        <w:t>4.1. Общая сумма подтверждённой дебиторской задолженности покупателей на 30.06.2026 составляет 12 587 055,19 ₽, из которых 3 108 332,09 ₽ (24,7 %) являются просроченными по контрагенту ООО «Ремсервис-Урал».</w:t>
      </w:r>
    </w:p>
    <w:p>
      <w:r>
        <w:t>4.2. Комиссия рекомендует главному бухгалтеру рассмотреть вопрос о создании резерва по сомнительным долгам в отношении задолженности ООО «Ремсервис-Урал» и продолжить претензионную работу до полного погашения задолженности.</w:t>
      </w:r>
    </w:p>
    <w:p>
      <w:r>
        <w:t>4.3. Комиссия рекомендует включить сверку расчётов с дилерами ООО «Агротех-Деталь» и ООО «Машторг-Центр» в план инвентаризации на 2-е полугодие 2026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